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仿宋" w:hAnsi="仿宋" w:eastAsia="仿宋"/>
          <w:b/>
          <w:color w:val="000000"/>
          <w:sz w:val="32"/>
          <w:szCs w:val="32"/>
        </w:rPr>
      </w:pPr>
      <w:r>
        <w:rPr>
          <w:rFonts w:hint="eastAsia" w:ascii="仿宋" w:hAnsi="仿宋" w:eastAsia="仿宋"/>
          <w:b/>
          <w:color w:val="000000"/>
          <w:sz w:val="32"/>
          <w:szCs w:val="32"/>
        </w:rPr>
        <w:t>关于开展202</w:t>
      </w:r>
      <w:r>
        <w:rPr>
          <w:rFonts w:hint="eastAsia" w:ascii="仿宋" w:hAnsi="仿宋" w:eastAsia="仿宋"/>
          <w:b/>
          <w:color w:val="000000"/>
          <w:sz w:val="32"/>
          <w:szCs w:val="32"/>
          <w:lang w:val="en-US" w:eastAsia="zh-CN"/>
        </w:rPr>
        <w:t>1</w:t>
      </w:r>
      <w:r>
        <w:rPr>
          <w:rFonts w:hint="eastAsia" w:ascii="仿宋" w:hAnsi="仿宋" w:eastAsia="仿宋"/>
          <w:b/>
          <w:color w:val="000000"/>
          <w:sz w:val="32"/>
          <w:szCs w:val="32"/>
        </w:rPr>
        <w:t>年</w:t>
      </w:r>
      <w:r>
        <w:rPr>
          <w:rFonts w:hint="eastAsia" w:ascii="仿宋" w:hAnsi="仿宋" w:eastAsia="仿宋"/>
          <w:b/>
          <w:color w:val="000000"/>
          <w:sz w:val="32"/>
          <w:szCs w:val="32"/>
          <w:lang w:val="en-US" w:eastAsia="zh-CN"/>
        </w:rPr>
        <w:t>度</w:t>
      </w:r>
      <w:bookmarkStart w:id="0" w:name="_GoBack"/>
      <w:bookmarkEnd w:id="0"/>
      <w:r>
        <w:rPr>
          <w:rFonts w:hint="eastAsia" w:ascii="仿宋" w:hAnsi="仿宋" w:eastAsia="仿宋"/>
          <w:b/>
          <w:color w:val="000000"/>
          <w:sz w:val="32"/>
          <w:szCs w:val="32"/>
        </w:rPr>
        <w:t>学院课程思政示范</w:t>
      </w:r>
      <w:r>
        <w:rPr>
          <w:rFonts w:hint="eastAsia" w:ascii="仿宋" w:hAnsi="仿宋" w:eastAsia="仿宋"/>
          <w:b/>
          <w:color w:val="000000"/>
          <w:sz w:val="32"/>
          <w:szCs w:val="32"/>
          <w:lang w:val="en-US" w:eastAsia="zh-CN"/>
        </w:rPr>
        <w:t>项目</w:t>
      </w:r>
      <w:r>
        <w:rPr>
          <w:rFonts w:hint="eastAsia" w:ascii="仿宋" w:hAnsi="仿宋" w:eastAsia="仿宋"/>
          <w:b/>
          <w:color w:val="000000"/>
          <w:sz w:val="32"/>
          <w:szCs w:val="32"/>
        </w:rPr>
        <w:t>遴选</w:t>
      </w:r>
    </w:p>
    <w:p>
      <w:pPr>
        <w:jc w:val="center"/>
        <w:rPr>
          <w:rFonts w:ascii="仿宋" w:hAnsi="仿宋" w:eastAsia="仿宋"/>
          <w:b/>
          <w:color w:val="000000"/>
          <w:sz w:val="32"/>
          <w:szCs w:val="32"/>
        </w:rPr>
      </w:pPr>
      <w:r>
        <w:rPr>
          <w:rFonts w:hint="eastAsia" w:ascii="仿宋" w:hAnsi="仿宋" w:eastAsia="仿宋"/>
          <w:b/>
          <w:color w:val="000000"/>
          <w:sz w:val="32"/>
          <w:szCs w:val="32"/>
          <w:lang w:eastAsia="zh-CN"/>
        </w:rPr>
        <w:t>暨省级推荐</w:t>
      </w:r>
      <w:r>
        <w:rPr>
          <w:rFonts w:hint="eastAsia" w:ascii="仿宋" w:hAnsi="仿宋" w:eastAsia="仿宋"/>
          <w:b/>
          <w:color w:val="000000"/>
          <w:sz w:val="32"/>
          <w:szCs w:val="32"/>
        </w:rPr>
        <w:t>工作的通知</w:t>
      </w:r>
    </w:p>
    <w:p>
      <w:pPr>
        <w:pStyle w:val="4"/>
        <w:keepNext w:val="0"/>
        <w:keepLines w:val="0"/>
        <w:widowControl/>
        <w:suppressLineNumbers w:val="0"/>
        <w:spacing w:before="0" w:beforeAutospacing="0" w:after="0" w:afterAutospacing="0"/>
        <w:ind w:left="0" w:right="0" w:firstLine="0"/>
        <w:rPr>
          <w:rFonts w:hint="eastAsia" w:ascii="仿宋" w:hAnsi="仿宋" w:eastAsia="仿宋" w:cs="Times New Roman"/>
          <w:color w:val="000000"/>
          <w:kern w:val="2"/>
          <w:sz w:val="28"/>
          <w:szCs w:val="28"/>
          <w:lang w:val="en-US" w:eastAsia="zh-CN" w:bidi="ar-SA"/>
        </w:rPr>
      </w:pPr>
      <w:r>
        <w:rPr>
          <w:rFonts w:hint="eastAsia" w:ascii="仿宋" w:hAnsi="仿宋" w:eastAsia="仿宋"/>
          <w:color w:val="000000"/>
          <w:sz w:val="28"/>
          <w:szCs w:val="28"/>
        </w:rPr>
        <w:t>　</w:t>
      </w:r>
      <w:r>
        <w:rPr>
          <w:rFonts w:hint="eastAsia" w:ascii="仿宋" w:hAnsi="仿宋" w:eastAsia="仿宋" w:cs="Times New Roman"/>
          <w:color w:val="000000"/>
          <w:kern w:val="2"/>
          <w:sz w:val="28"/>
          <w:szCs w:val="28"/>
          <w:lang w:val="en-US" w:eastAsia="zh-CN" w:bidi="ar-SA"/>
        </w:rPr>
        <w:t>为贯彻落实党的十九届六中全会精神，贯彻落实习近平总书记关于教育的重要论述和全国教育大会精神，落实中共中央办公厅、国务院办公厅《关于深化新时代学校思想政治理论课改革创新的若干意见》，深入实施《高等学校课程思政建设指导纲要》和黑龙江省《全面推进高等学校课程思政建设工作方案》，结合《黑龙江省教育厅关于组织开展第二批黑龙江省高等学校课程思政示范项目建设工作的通知》要求，现开展2021年度课程思政示范课程和教学团队、教学研究示范中心建设暨省级推荐工作，全面推进学院课程思政建设，促进专业课与思想政治理论课同向同行，构建“思政课程+课程思政”大格局，现就有关事项通知如下：</w:t>
      </w:r>
    </w:p>
    <w:p>
      <w:pPr>
        <w:pStyle w:val="4"/>
        <w:keepNext w:val="0"/>
        <w:keepLines w:val="0"/>
        <w:widowControl/>
        <w:suppressLineNumbers w:val="0"/>
        <w:spacing w:before="0" w:beforeAutospacing="0" w:after="0" w:afterAutospacing="0"/>
        <w:ind w:left="0" w:right="0" w:firstLine="0"/>
        <w:rPr>
          <w:rFonts w:hint="eastAsia" w:ascii="仿宋" w:hAnsi="仿宋" w:eastAsia="仿宋" w:cs="Times New Roman"/>
          <w:b/>
          <w:color w:val="000000"/>
          <w:kern w:val="2"/>
          <w:sz w:val="28"/>
          <w:szCs w:val="28"/>
          <w:lang w:val="en-US" w:eastAsia="zh-CN" w:bidi="ar-SA"/>
        </w:rPr>
      </w:pPr>
      <w:r>
        <w:rPr>
          <w:rFonts w:hint="eastAsia" w:ascii="仿宋" w:hAnsi="仿宋" w:eastAsia="仿宋" w:cs="Times New Roman"/>
          <w:color w:val="000000"/>
          <w:kern w:val="2"/>
          <w:sz w:val="28"/>
          <w:szCs w:val="28"/>
          <w:lang w:val="en-US" w:eastAsia="zh-CN" w:bidi="ar-SA"/>
        </w:rPr>
        <w:t>　　</w:t>
      </w:r>
      <w:r>
        <w:rPr>
          <w:rFonts w:hint="eastAsia" w:ascii="仿宋" w:hAnsi="仿宋" w:eastAsia="仿宋" w:cs="Times New Roman"/>
          <w:b/>
          <w:color w:val="000000"/>
          <w:kern w:val="2"/>
          <w:sz w:val="28"/>
          <w:szCs w:val="28"/>
          <w:lang w:val="en-US" w:eastAsia="zh-CN" w:bidi="ar-SA"/>
        </w:rPr>
        <w:t>一、建设条件</w:t>
      </w:r>
    </w:p>
    <w:p>
      <w:pPr>
        <w:pStyle w:val="4"/>
        <w:keepNext w:val="0"/>
        <w:keepLines w:val="0"/>
        <w:widowControl/>
        <w:suppressLineNumbers w:val="0"/>
        <w:spacing w:before="0" w:beforeAutospacing="0" w:after="0" w:afterAutospacing="0"/>
        <w:ind w:left="0" w:right="0" w:firstLine="0"/>
        <w:rPr>
          <w:rFonts w:hint="eastAsia" w:ascii="仿宋" w:hAnsi="仿宋" w:eastAsia="仿宋" w:cs="Times New Roman"/>
          <w:color w:val="000000"/>
          <w:kern w:val="2"/>
          <w:sz w:val="28"/>
          <w:szCs w:val="28"/>
          <w:lang w:val="en-US" w:eastAsia="zh-CN" w:bidi="ar-SA"/>
        </w:rPr>
      </w:pPr>
      <w:r>
        <w:rPr>
          <w:rFonts w:hint="eastAsia" w:ascii="仿宋" w:hAnsi="仿宋" w:eastAsia="仿宋" w:cs="Times New Roman"/>
          <w:color w:val="000000"/>
          <w:kern w:val="2"/>
          <w:sz w:val="28"/>
          <w:szCs w:val="28"/>
          <w:lang w:val="en-US" w:eastAsia="zh-CN" w:bidi="ar-SA"/>
        </w:rPr>
        <w:t>　　（一）示范课程和教学团队</w:t>
      </w:r>
    </w:p>
    <w:p>
      <w:pPr>
        <w:pStyle w:val="4"/>
        <w:keepNext w:val="0"/>
        <w:keepLines w:val="0"/>
        <w:widowControl/>
        <w:suppressLineNumbers w:val="0"/>
        <w:spacing w:before="0" w:beforeAutospacing="0" w:after="0" w:afterAutospacing="0"/>
        <w:ind w:left="0" w:right="0" w:firstLine="0"/>
        <w:rPr>
          <w:rFonts w:hint="eastAsia" w:ascii="仿宋" w:hAnsi="仿宋" w:eastAsia="仿宋" w:cs="Times New Roman"/>
          <w:color w:val="000000"/>
          <w:kern w:val="2"/>
          <w:sz w:val="28"/>
          <w:szCs w:val="28"/>
          <w:lang w:val="en-US" w:eastAsia="zh-CN" w:bidi="ar-SA"/>
        </w:rPr>
      </w:pPr>
      <w:r>
        <w:rPr>
          <w:rFonts w:hint="eastAsia" w:ascii="仿宋" w:hAnsi="仿宋" w:eastAsia="仿宋" w:cs="Times New Roman"/>
          <w:color w:val="000000"/>
          <w:kern w:val="2"/>
          <w:sz w:val="28"/>
          <w:szCs w:val="28"/>
          <w:lang w:val="en-US" w:eastAsia="zh-CN" w:bidi="ar-SA"/>
        </w:rPr>
        <w:t>　　1.课程应为非思政课程（公共基础课程、专业教育课程、实践类课程），且已纳入人才培养方案或专业考试计划，实施学分管理，并至少经过两个学期或两个教学周期的建设和完善。</w:t>
      </w:r>
    </w:p>
    <w:p>
      <w:pPr>
        <w:pStyle w:val="4"/>
        <w:keepNext w:val="0"/>
        <w:keepLines w:val="0"/>
        <w:widowControl/>
        <w:suppressLineNumbers w:val="0"/>
        <w:spacing w:before="0" w:beforeAutospacing="0" w:after="0" w:afterAutospacing="0"/>
        <w:ind w:left="0" w:right="0" w:firstLine="0"/>
        <w:rPr>
          <w:rFonts w:hint="eastAsia" w:ascii="仿宋" w:hAnsi="仿宋" w:eastAsia="仿宋" w:cs="Times New Roman"/>
          <w:color w:val="000000"/>
          <w:kern w:val="2"/>
          <w:sz w:val="28"/>
          <w:szCs w:val="28"/>
          <w:lang w:val="en-US" w:eastAsia="zh-CN" w:bidi="ar-SA"/>
        </w:rPr>
      </w:pPr>
      <w:r>
        <w:rPr>
          <w:rFonts w:hint="eastAsia" w:ascii="仿宋" w:hAnsi="仿宋" w:eastAsia="仿宋" w:cs="Times New Roman"/>
          <w:color w:val="000000"/>
          <w:kern w:val="2"/>
          <w:sz w:val="28"/>
          <w:szCs w:val="28"/>
          <w:lang w:val="en-US" w:eastAsia="zh-CN" w:bidi="ar-SA"/>
        </w:rPr>
        <w:t>　　2.课程准确把握“坚定学生理想信念，教育学生爱党、爱国、爱社会主义、爱人民、爱集体”主线，结合所在学科专业、所属课程类型的育人要求和特点，深入挖掘各类课程和教学方式中蕴含的思政教育资源，系统进行习近平新时代中国特色社会主义思想教育、中国特色社会主义和中国梦教育、社会主义核心价值观教育、四史教育、法治教育、劳动教育、心理健康教育、中华优秀传统文化教育、伟大抗疫精神教育、龙江“四大精神”教育和“五色”教育，优化课程思政内容供给。</w:t>
      </w:r>
    </w:p>
    <w:p>
      <w:pPr>
        <w:pStyle w:val="4"/>
        <w:keepNext w:val="0"/>
        <w:keepLines w:val="0"/>
        <w:widowControl/>
        <w:suppressLineNumbers w:val="0"/>
        <w:spacing w:before="0" w:beforeAutospacing="0" w:after="0" w:afterAutospacing="0"/>
        <w:ind w:left="0" w:right="0" w:firstLine="0"/>
        <w:rPr>
          <w:rFonts w:hint="eastAsia" w:ascii="仿宋" w:hAnsi="仿宋" w:eastAsia="仿宋" w:cs="Times New Roman"/>
          <w:color w:val="000000"/>
          <w:kern w:val="2"/>
          <w:sz w:val="28"/>
          <w:szCs w:val="28"/>
          <w:lang w:val="en-US" w:eastAsia="zh-CN" w:bidi="ar-SA"/>
        </w:rPr>
      </w:pPr>
      <w:r>
        <w:rPr>
          <w:rFonts w:hint="eastAsia" w:ascii="仿宋" w:hAnsi="仿宋" w:eastAsia="仿宋" w:cs="Times New Roman"/>
          <w:color w:val="000000"/>
          <w:kern w:val="2"/>
          <w:sz w:val="28"/>
          <w:szCs w:val="28"/>
          <w:lang w:val="en-US" w:eastAsia="zh-CN" w:bidi="ar-SA"/>
        </w:rPr>
        <w:t>　　3.课程注重体现学校办学定位和专业特色，注重价值塑造、知识传授与能力培养相统一，科学设计课程目标和教案课件，将思想政治教育有机融入课程教学，达到润物无声的育人效果。</w:t>
      </w:r>
    </w:p>
    <w:p>
      <w:pPr>
        <w:pStyle w:val="4"/>
        <w:keepNext w:val="0"/>
        <w:keepLines w:val="0"/>
        <w:widowControl/>
        <w:suppressLineNumbers w:val="0"/>
        <w:spacing w:before="0" w:beforeAutospacing="0" w:after="0" w:afterAutospacing="0"/>
        <w:ind w:left="0" w:right="0" w:firstLine="0"/>
        <w:rPr>
          <w:rFonts w:hint="eastAsia" w:ascii="仿宋" w:hAnsi="仿宋" w:eastAsia="仿宋" w:cs="Times New Roman"/>
          <w:color w:val="000000"/>
          <w:kern w:val="2"/>
          <w:sz w:val="28"/>
          <w:szCs w:val="28"/>
          <w:lang w:val="en-US" w:eastAsia="zh-CN" w:bidi="ar-SA"/>
        </w:rPr>
      </w:pPr>
      <w:r>
        <w:rPr>
          <w:rFonts w:hint="eastAsia" w:ascii="仿宋" w:hAnsi="仿宋" w:eastAsia="仿宋" w:cs="Times New Roman"/>
          <w:color w:val="000000"/>
          <w:kern w:val="2"/>
          <w:sz w:val="28"/>
          <w:szCs w:val="28"/>
          <w:lang w:val="en-US" w:eastAsia="zh-CN" w:bidi="ar-SA"/>
        </w:rPr>
        <w:t>　　4.课程注重课程思政建设模式创新，教学内容体现思想性、前沿性与时代性，教学方法体现先进性、互动性与针对性，形成可供同类课程借鉴共享的模式、经验和成果。</w:t>
      </w:r>
    </w:p>
    <w:p>
      <w:pPr>
        <w:pStyle w:val="4"/>
        <w:keepNext w:val="0"/>
        <w:keepLines w:val="0"/>
        <w:widowControl/>
        <w:suppressLineNumbers w:val="0"/>
        <w:spacing w:before="0" w:beforeAutospacing="0" w:after="0" w:afterAutospacing="0"/>
        <w:ind w:left="0" w:right="0" w:firstLine="0"/>
        <w:rPr>
          <w:rFonts w:hint="eastAsia" w:ascii="仿宋" w:hAnsi="仿宋" w:eastAsia="仿宋" w:cs="Times New Roman"/>
          <w:color w:val="000000"/>
          <w:kern w:val="2"/>
          <w:sz w:val="28"/>
          <w:szCs w:val="28"/>
          <w:lang w:val="en-US" w:eastAsia="zh-CN" w:bidi="ar-SA"/>
        </w:rPr>
      </w:pPr>
      <w:r>
        <w:rPr>
          <w:rFonts w:hint="eastAsia" w:ascii="仿宋" w:hAnsi="仿宋" w:eastAsia="仿宋" w:cs="Times New Roman"/>
          <w:color w:val="000000"/>
          <w:kern w:val="2"/>
          <w:sz w:val="28"/>
          <w:szCs w:val="28"/>
          <w:lang w:val="en-US" w:eastAsia="zh-CN" w:bidi="ar-SA"/>
        </w:rPr>
        <w:t>　　5.课程授课教师政治立场坚定，师德师风良好。课程负责人具有高级职称，准确把握本课程开展课程思政建设的方向和重点，并融入课程教学全过程。课程教学团队人员结构合理，分工明确，集体教研制度、备课制度等完善且有效实施，经常性开展课程思政建设教学研究和交流，课程思政建设整体水平高。</w:t>
      </w:r>
    </w:p>
    <w:p>
      <w:pPr>
        <w:pStyle w:val="4"/>
        <w:keepNext w:val="0"/>
        <w:keepLines w:val="0"/>
        <w:widowControl/>
        <w:suppressLineNumbers w:val="0"/>
        <w:spacing w:before="0" w:beforeAutospacing="0" w:after="0" w:afterAutospacing="0"/>
        <w:ind w:left="0" w:right="0" w:firstLine="0"/>
        <w:rPr>
          <w:rFonts w:hint="eastAsia" w:ascii="仿宋" w:hAnsi="仿宋" w:eastAsia="仿宋" w:cs="Times New Roman"/>
          <w:color w:val="000000"/>
          <w:kern w:val="2"/>
          <w:sz w:val="28"/>
          <w:szCs w:val="28"/>
          <w:lang w:val="en-US" w:eastAsia="zh-CN" w:bidi="ar-SA"/>
        </w:rPr>
      </w:pPr>
      <w:r>
        <w:rPr>
          <w:rFonts w:hint="eastAsia" w:ascii="仿宋" w:hAnsi="仿宋" w:eastAsia="仿宋" w:cs="Times New Roman"/>
          <w:color w:val="000000"/>
          <w:kern w:val="2"/>
          <w:sz w:val="28"/>
          <w:szCs w:val="28"/>
          <w:lang w:val="en-US" w:eastAsia="zh-CN" w:bidi="ar-SA"/>
        </w:rPr>
        <w:t>　　6.申报教师应为非现任校级领导，鼓励和支持院士、教学名师等高水平专家学者带头开展课程思政建设。</w:t>
      </w:r>
    </w:p>
    <w:p>
      <w:pPr>
        <w:pStyle w:val="4"/>
        <w:keepNext w:val="0"/>
        <w:keepLines w:val="0"/>
        <w:widowControl/>
        <w:suppressLineNumbers w:val="0"/>
        <w:spacing w:before="0" w:beforeAutospacing="0" w:after="0" w:afterAutospacing="0"/>
        <w:ind w:left="0" w:right="0" w:firstLine="0"/>
        <w:rPr>
          <w:rFonts w:hint="eastAsia" w:ascii="仿宋" w:hAnsi="仿宋" w:eastAsia="仿宋" w:cs="Times New Roman"/>
          <w:color w:val="000000"/>
          <w:kern w:val="2"/>
          <w:sz w:val="28"/>
          <w:szCs w:val="28"/>
          <w:lang w:val="en-US" w:eastAsia="zh-CN" w:bidi="ar-SA"/>
        </w:rPr>
      </w:pPr>
      <w:r>
        <w:rPr>
          <w:rFonts w:hint="eastAsia" w:ascii="仿宋" w:hAnsi="仿宋" w:eastAsia="仿宋" w:cs="Times New Roman"/>
          <w:color w:val="000000"/>
          <w:kern w:val="2"/>
          <w:sz w:val="28"/>
          <w:szCs w:val="28"/>
          <w:lang w:val="en-US" w:eastAsia="zh-CN" w:bidi="ar-SA"/>
        </w:rPr>
        <w:t>　　7.课程考核方式和评价办法完善，育人效果显著，学生评价结果优秀，校内外同行专家评价良好，形成较高水平的课程思政建设成果，具有良好的示范辐射作用。</w:t>
      </w:r>
    </w:p>
    <w:p>
      <w:pPr>
        <w:pStyle w:val="4"/>
        <w:keepNext w:val="0"/>
        <w:keepLines w:val="0"/>
        <w:widowControl/>
        <w:suppressLineNumbers w:val="0"/>
        <w:spacing w:before="0" w:beforeAutospacing="0" w:after="0" w:afterAutospacing="0"/>
        <w:ind w:left="0" w:right="0" w:firstLine="0"/>
        <w:rPr>
          <w:rFonts w:hint="eastAsia" w:ascii="仿宋" w:hAnsi="仿宋" w:eastAsia="仿宋" w:cs="Times New Roman"/>
          <w:color w:val="000000"/>
          <w:kern w:val="2"/>
          <w:sz w:val="28"/>
          <w:szCs w:val="28"/>
          <w:lang w:val="en-US" w:eastAsia="zh-CN" w:bidi="ar-SA"/>
        </w:rPr>
      </w:pPr>
      <w:r>
        <w:rPr>
          <w:rFonts w:hint="eastAsia" w:ascii="仿宋" w:hAnsi="仿宋" w:eastAsia="仿宋" w:cs="Times New Roman"/>
          <w:color w:val="000000"/>
          <w:kern w:val="2"/>
          <w:sz w:val="28"/>
          <w:szCs w:val="28"/>
          <w:lang w:val="en-US" w:eastAsia="zh-CN" w:bidi="ar-SA"/>
        </w:rPr>
        <w:t>　　8.课程要体现职业教育类型特征，注重德技并修、育训结合，有机融入劳动教育、工匠精神、职业道德、职业精神和职业规范等内容；继续教育课程要充分考虑成人在职学习的特点，注重发挥信息技术优势，面向终身学习，培养学习者立足岗位的创新意识与责任担当。</w:t>
      </w:r>
    </w:p>
    <w:p>
      <w:pPr>
        <w:pStyle w:val="4"/>
        <w:keepNext w:val="0"/>
        <w:keepLines w:val="0"/>
        <w:widowControl/>
        <w:suppressLineNumbers w:val="0"/>
        <w:spacing w:before="0" w:beforeAutospacing="0" w:after="0" w:afterAutospacing="0"/>
        <w:ind w:left="0" w:right="0" w:firstLine="0"/>
        <w:rPr>
          <w:rFonts w:hint="eastAsia" w:ascii="仿宋" w:hAnsi="仿宋" w:eastAsia="仿宋" w:cs="Times New Roman"/>
          <w:color w:val="000000"/>
          <w:kern w:val="2"/>
          <w:sz w:val="28"/>
          <w:szCs w:val="28"/>
          <w:lang w:val="en-US" w:eastAsia="zh-CN" w:bidi="ar-SA"/>
        </w:rPr>
      </w:pPr>
      <w:r>
        <w:rPr>
          <w:rFonts w:hint="eastAsia" w:ascii="仿宋" w:hAnsi="仿宋" w:eastAsia="仿宋" w:cs="Times New Roman"/>
          <w:color w:val="000000"/>
          <w:kern w:val="2"/>
          <w:sz w:val="28"/>
          <w:szCs w:val="28"/>
          <w:lang w:val="en-US" w:eastAsia="zh-CN" w:bidi="ar-SA"/>
        </w:rPr>
        <w:t>　　（二）教学研究示范中心</w:t>
      </w:r>
    </w:p>
    <w:p>
      <w:pPr>
        <w:pStyle w:val="4"/>
        <w:keepNext w:val="0"/>
        <w:keepLines w:val="0"/>
        <w:widowControl/>
        <w:suppressLineNumbers w:val="0"/>
        <w:spacing w:before="0" w:beforeAutospacing="0" w:after="0" w:afterAutospacing="0"/>
        <w:ind w:left="0" w:right="0" w:firstLine="0"/>
        <w:rPr>
          <w:rFonts w:hint="eastAsia" w:ascii="仿宋" w:hAnsi="仿宋" w:eastAsia="仿宋" w:cs="Times New Roman"/>
          <w:color w:val="000000"/>
          <w:kern w:val="2"/>
          <w:sz w:val="28"/>
          <w:szCs w:val="28"/>
          <w:lang w:val="en-US" w:eastAsia="zh-CN" w:bidi="ar-SA"/>
        </w:rPr>
      </w:pPr>
      <w:r>
        <w:rPr>
          <w:rFonts w:hint="eastAsia" w:ascii="仿宋" w:hAnsi="仿宋" w:eastAsia="仿宋" w:cs="Times New Roman"/>
          <w:color w:val="000000"/>
          <w:kern w:val="2"/>
          <w:sz w:val="28"/>
          <w:szCs w:val="28"/>
          <w:lang w:val="en-US" w:eastAsia="zh-CN" w:bidi="ar-SA"/>
        </w:rPr>
        <w:t>　　1.中心原则上应为学校的实体机构，聚焦课程思政教学实践和理论研究，发展定位准确，育人理念先进，工作规划清晰，任务职责明确，运行机制完备，建设特色鲜明。</w:t>
      </w:r>
    </w:p>
    <w:p>
      <w:pPr>
        <w:pStyle w:val="4"/>
        <w:keepNext w:val="0"/>
        <w:keepLines w:val="0"/>
        <w:widowControl/>
        <w:suppressLineNumbers w:val="0"/>
        <w:spacing w:before="0" w:beforeAutospacing="0" w:after="0" w:afterAutospacing="0"/>
        <w:ind w:left="0" w:right="0" w:firstLine="0"/>
        <w:rPr>
          <w:rFonts w:hint="eastAsia" w:ascii="仿宋" w:hAnsi="仿宋" w:eastAsia="仿宋" w:cs="Times New Roman"/>
          <w:color w:val="000000"/>
          <w:kern w:val="2"/>
          <w:sz w:val="28"/>
          <w:szCs w:val="28"/>
          <w:lang w:val="en-US" w:eastAsia="zh-CN" w:bidi="ar-SA"/>
        </w:rPr>
      </w:pPr>
      <w:r>
        <w:rPr>
          <w:rFonts w:hint="eastAsia" w:ascii="仿宋" w:hAnsi="仿宋" w:eastAsia="仿宋" w:cs="Times New Roman"/>
          <w:color w:val="000000"/>
          <w:kern w:val="2"/>
          <w:sz w:val="28"/>
          <w:szCs w:val="28"/>
          <w:lang w:val="en-US" w:eastAsia="zh-CN" w:bidi="ar-SA"/>
        </w:rPr>
        <w:t>　　2.中心负责人政治立场坚定，师德师风良好，对如何结合本校办学定位和专业特色开展课程思政高质量建设有深刻理解，具有丰富的课程思政实践经验和研究成果。中心人员配备科学合理，具有相应的建设经验和研究基础。</w:t>
      </w:r>
    </w:p>
    <w:p>
      <w:pPr>
        <w:pStyle w:val="4"/>
        <w:keepNext w:val="0"/>
        <w:keepLines w:val="0"/>
        <w:widowControl/>
        <w:suppressLineNumbers w:val="0"/>
        <w:spacing w:before="0" w:beforeAutospacing="0" w:after="0" w:afterAutospacing="0"/>
        <w:ind w:left="0" w:right="0" w:firstLine="0"/>
        <w:rPr>
          <w:rFonts w:hint="eastAsia" w:ascii="仿宋" w:hAnsi="仿宋" w:eastAsia="仿宋" w:cs="Times New Roman"/>
          <w:color w:val="000000"/>
          <w:kern w:val="2"/>
          <w:sz w:val="28"/>
          <w:szCs w:val="28"/>
          <w:lang w:val="en-US" w:eastAsia="zh-CN" w:bidi="ar-SA"/>
        </w:rPr>
      </w:pPr>
      <w:r>
        <w:rPr>
          <w:rFonts w:hint="eastAsia" w:ascii="仿宋" w:hAnsi="仿宋" w:eastAsia="仿宋" w:cs="Times New Roman"/>
          <w:color w:val="000000"/>
          <w:kern w:val="2"/>
          <w:sz w:val="28"/>
          <w:szCs w:val="28"/>
          <w:lang w:val="en-US" w:eastAsia="zh-CN" w:bidi="ar-SA"/>
        </w:rPr>
        <w:t>　　3.中心积极探索创新课程思政建设方法途径，形成具有推广价值的经验做法和高质量的研究成果，能够有效指导和有力推进学校、院系、教师不同层面的课程思政高质量建设，并在校内外形成示范辐射效应。</w:t>
      </w:r>
    </w:p>
    <w:p>
      <w:pPr>
        <w:pStyle w:val="4"/>
        <w:keepNext w:val="0"/>
        <w:keepLines w:val="0"/>
        <w:widowControl/>
        <w:suppressLineNumbers w:val="0"/>
        <w:spacing w:before="0" w:beforeAutospacing="0" w:after="0" w:afterAutospacing="0"/>
        <w:ind w:left="0" w:right="0" w:firstLine="0"/>
        <w:rPr>
          <w:rFonts w:hint="eastAsia" w:ascii="仿宋" w:hAnsi="仿宋" w:eastAsia="仿宋" w:cs="Times New Roman"/>
          <w:color w:val="000000"/>
          <w:kern w:val="2"/>
          <w:sz w:val="28"/>
          <w:szCs w:val="28"/>
          <w:lang w:val="en-US" w:eastAsia="zh-CN" w:bidi="ar-SA"/>
        </w:rPr>
      </w:pPr>
      <w:r>
        <w:rPr>
          <w:rFonts w:hint="eastAsia" w:ascii="仿宋" w:hAnsi="仿宋" w:eastAsia="仿宋" w:cs="Times New Roman"/>
          <w:color w:val="000000"/>
          <w:kern w:val="2"/>
          <w:sz w:val="28"/>
          <w:szCs w:val="28"/>
          <w:lang w:val="en-US" w:eastAsia="zh-CN" w:bidi="ar-SA"/>
        </w:rPr>
        <w:t>　　4.中心支持指导不同学科专业、不同类型课程，立足专业特色和课程育人特点开展课程思政建设，建设一批课程思政优质教育资源，建有宣传展示数字化平台，并广泛开展推广共享。</w:t>
      </w:r>
    </w:p>
    <w:p>
      <w:pPr>
        <w:pStyle w:val="4"/>
        <w:keepNext w:val="0"/>
        <w:keepLines w:val="0"/>
        <w:widowControl/>
        <w:suppressLineNumbers w:val="0"/>
        <w:spacing w:before="0" w:beforeAutospacing="0" w:after="0" w:afterAutospacing="0"/>
        <w:ind w:left="0" w:right="0" w:firstLine="0"/>
        <w:rPr>
          <w:rFonts w:hint="eastAsia" w:ascii="仿宋" w:hAnsi="仿宋" w:eastAsia="仿宋" w:cs="Times New Roman"/>
          <w:color w:val="000000"/>
          <w:kern w:val="2"/>
          <w:sz w:val="28"/>
          <w:szCs w:val="28"/>
          <w:lang w:val="en-US" w:eastAsia="zh-CN" w:bidi="ar-SA"/>
        </w:rPr>
      </w:pPr>
      <w:r>
        <w:rPr>
          <w:rFonts w:hint="eastAsia" w:ascii="仿宋" w:hAnsi="仿宋" w:eastAsia="仿宋" w:cs="Times New Roman"/>
          <w:color w:val="000000"/>
          <w:kern w:val="2"/>
          <w:sz w:val="28"/>
          <w:szCs w:val="28"/>
          <w:lang w:val="en-US" w:eastAsia="zh-CN" w:bidi="ar-SA"/>
        </w:rPr>
        <w:t>　　5.中心开展经常性的课程思政建设教师交流、观摩和培训活动，汇聚专业课和思政课教师合力，积极推动教师课程思政建设水平和课程育人能力整体提高。</w:t>
      </w:r>
    </w:p>
    <w:p>
      <w:pPr>
        <w:pStyle w:val="4"/>
        <w:keepNext w:val="0"/>
        <w:keepLines w:val="0"/>
        <w:widowControl/>
        <w:suppressLineNumbers w:val="0"/>
        <w:spacing w:before="0" w:beforeAutospacing="0" w:after="0" w:afterAutospacing="0"/>
        <w:ind w:left="0" w:right="0" w:firstLine="0"/>
        <w:rPr>
          <w:rFonts w:hint="eastAsia" w:ascii="仿宋" w:hAnsi="仿宋" w:eastAsia="仿宋" w:cs="Times New Roman"/>
          <w:color w:val="000000"/>
          <w:kern w:val="2"/>
          <w:sz w:val="28"/>
          <w:szCs w:val="28"/>
          <w:lang w:val="en-US" w:eastAsia="zh-CN" w:bidi="ar-SA"/>
        </w:rPr>
      </w:pPr>
      <w:r>
        <w:rPr>
          <w:rFonts w:hint="eastAsia" w:ascii="仿宋" w:hAnsi="仿宋" w:eastAsia="仿宋" w:cs="Times New Roman"/>
          <w:color w:val="000000"/>
          <w:kern w:val="2"/>
          <w:sz w:val="28"/>
          <w:szCs w:val="28"/>
          <w:lang w:val="en-US" w:eastAsia="zh-CN" w:bidi="ar-SA"/>
        </w:rPr>
        <w:t>　　6.中心探索建立课程思政建设质量评价体系和激励机制，推动学校将课程思政建设成效纳入院系、教师的绩效考评内容，不断提升教师开展课程思政建设的积极性主动性。</w:t>
      </w:r>
    </w:p>
    <w:p>
      <w:pPr>
        <w:pStyle w:val="4"/>
        <w:keepNext w:val="0"/>
        <w:keepLines w:val="0"/>
        <w:widowControl/>
        <w:suppressLineNumbers w:val="0"/>
        <w:spacing w:before="0" w:beforeAutospacing="0" w:after="0" w:afterAutospacing="0"/>
        <w:ind w:left="0" w:right="0" w:firstLine="0"/>
        <w:rPr>
          <w:rFonts w:hint="eastAsia" w:ascii="仿宋" w:hAnsi="仿宋" w:eastAsia="仿宋" w:cs="Times New Roman"/>
          <w:color w:val="000000"/>
          <w:kern w:val="2"/>
          <w:sz w:val="28"/>
          <w:szCs w:val="28"/>
          <w:lang w:val="en-US" w:eastAsia="zh-CN" w:bidi="ar-SA"/>
        </w:rPr>
      </w:pPr>
      <w:r>
        <w:rPr>
          <w:rFonts w:hint="eastAsia" w:ascii="仿宋" w:hAnsi="仿宋" w:eastAsia="仿宋" w:cs="Times New Roman"/>
          <w:color w:val="000000"/>
          <w:kern w:val="2"/>
          <w:sz w:val="28"/>
          <w:szCs w:val="28"/>
          <w:lang w:val="en-US" w:eastAsia="zh-CN" w:bidi="ar-SA"/>
        </w:rPr>
        <w:t>　　7.中心在政策、经费和条件等方面保障有力，具有开展课程思政教学设计、分享、展示、培训、研讨等活动的良好基础和支撑能力。</w:t>
      </w:r>
    </w:p>
    <w:p>
      <w:pPr>
        <w:wordWrap/>
        <w:adjustRightInd/>
        <w:snapToGrid/>
        <w:spacing w:before="0" w:after="0" w:line="520" w:lineRule="exact"/>
        <w:ind w:left="0" w:leftChars="0" w:right="0"/>
        <w:jc w:val="both"/>
        <w:textAlignment w:val="auto"/>
        <w:outlineLvl w:val="9"/>
        <w:rPr>
          <w:rFonts w:ascii="仿宋" w:hAnsi="仿宋" w:eastAsia="仿宋"/>
          <w:b/>
          <w:color w:val="000000"/>
          <w:sz w:val="28"/>
          <w:szCs w:val="28"/>
        </w:rPr>
      </w:pPr>
      <w:r>
        <w:t>　　</w:t>
      </w:r>
      <w:r>
        <w:rPr>
          <w:rFonts w:hint="eastAsia" w:ascii="仿宋" w:hAnsi="仿宋" w:eastAsia="仿宋"/>
          <w:color w:val="000000"/>
          <w:sz w:val="28"/>
          <w:szCs w:val="28"/>
        </w:rPr>
        <w:t>　</w:t>
      </w:r>
      <w:r>
        <w:rPr>
          <w:rFonts w:hint="eastAsia" w:ascii="仿宋" w:hAnsi="仿宋" w:eastAsia="仿宋"/>
          <w:color w:val="000000"/>
          <w:sz w:val="28"/>
          <w:szCs w:val="28"/>
          <w:lang w:val="en-US" w:eastAsia="zh-CN"/>
        </w:rPr>
        <w:t>二、</w:t>
      </w:r>
      <w:r>
        <w:rPr>
          <w:rFonts w:hint="eastAsia" w:ascii="仿宋" w:hAnsi="仿宋" w:eastAsia="仿宋"/>
          <w:b/>
          <w:color w:val="000000"/>
          <w:sz w:val="28"/>
          <w:szCs w:val="28"/>
        </w:rPr>
        <w:t>申报遴选程序</w:t>
      </w:r>
    </w:p>
    <w:p>
      <w:pPr>
        <w:wordWrap/>
        <w:adjustRightInd/>
        <w:snapToGrid/>
        <w:spacing w:before="0" w:after="0" w:line="520" w:lineRule="exact"/>
        <w:ind w:left="0" w:leftChars="0" w:right="0" w:firstLine="560" w:firstLineChars="200"/>
        <w:jc w:val="both"/>
        <w:textAlignment w:val="auto"/>
        <w:outlineLvl w:val="9"/>
        <w:rPr>
          <w:rFonts w:ascii="仿宋" w:hAnsi="仿宋" w:eastAsia="仿宋"/>
          <w:color w:val="000000"/>
          <w:sz w:val="28"/>
          <w:szCs w:val="28"/>
        </w:rPr>
      </w:pPr>
      <w:r>
        <w:rPr>
          <w:rFonts w:hint="eastAsia" w:ascii="仿宋" w:hAnsi="仿宋" w:eastAsia="仿宋"/>
          <w:color w:val="000000"/>
          <w:sz w:val="28"/>
          <w:szCs w:val="28"/>
        </w:rPr>
        <w:t>1.符合申报条件的</w:t>
      </w:r>
      <w:r>
        <w:rPr>
          <w:rFonts w:hint="eastAsia" w:ascii="仿宋" w:hAnsi="仿宋" w:eastAsia="仿宋"/>
          <w:color w:val="000000"/>
          <w:sz w:val="28"/>
          <w:szCs w:val="28"/>
          <w:lang w:val="en-US" w:eastAsia="zh-CN"/>
        </w:rPr>
        <w:t>项目</w:t>
      </w:r>
      <w:r>
        <w:rPr>
          <w:rFonts w:hint="eastAsia" w:ascii="仿宋" w:hAnsi="仿宋" w:eastAsia="仿宋"/>
          <w:color w:val="000000"/>
          <w:sz w:val="28"/>
          <w:szCs w:val="28"/>
        </w:rPr>
        <w:t>向所在系（部）提出申请，系部审核后报学院教务处。</w:t>
      </w:r>
    </w:p>
    <w:p>
      <w:pPr>
        <w:wordWrap/>
        <w:adjustRightInd/>
        <w:snapToGrid/>
        <w:spacing w:before="0" w:after="0" w:line="520" w:lineRule="exact"/>
        <w:ind w:left="0" w:leftChars="0" w:right="0" w:firstLine="560" w:firstLineChars="200"/>
        <w:jc w:val="both"/>
        <w:textAlignment w:val="auto"/>
        <w:outlineLvl w:val="9"/>
        <w:rPr>
          <w:rFonts w:hint="eastAsia" w:ascii="仿宋" w:hAnsi="仿宋" w:eastAsia="仿宋"/>
          <w:color w:val="000000"/>
          <w:sz w:val="28"/>
          <w:szCs w:val="28"/>
          <w:lang w:eastAsia="zh-CN"/>
        </w:rPr>
      </w:pPr>
      <w:r>
        <w:rPr>
          <w:rFonts w:hint="eastAsia" w:ascii="仿宋" w:hAnsi="仿宋" w:eastAsia="仿宋"/>
          <w:color w:val="000000"/>
          <w:sz w:val="28"/>
          <w:szCs w:val="28"/>
        </w:rPr>
        <w:t>2.学院</w:t>
      </w:r>
      <w:r>
        <w:rPr>
          <w:rFonts w:hint="eastAsia" w:ascii="仿宋" w:hAnsi="仿宋" w:eastAsia="仿宋"/>
          <w:color w:val="000000"/>
          <w:sz w:val="28"/>
          <w:szCs w:val="28"/>
          <w:lang w:eastAsia="zh-CN"/>
        </w:rPr>
        <w:t>按照评审方案进行项目</w:t>
      </w:r>
      <w:r>
        <w:rPr>
          <w:rFonts w:hint="eastAsia" w:ascii="仿宋" w:hAnsi="仿宋" w:eastAsia="仿宋"/>
          <w:color w:val="000000"/>
          <w:sz w:val="28"/>
          <w:szCs w:val="28"/>
        </w:rPr>
        <w:t>遴选</w:t>
      </w:r>
      <w:r>
        <w:rPr>
          <w:rFonts w:hint="eastAsia" w:ascii="仿宋" w:hAnsi="仿宋" w:eastAsia="仿宋"/>
          <w:color w:val="000000"/>
          <w:sz w:val="28"/>
          <w:szCs w:val="28"/>
          <w:lang w:eastAsia="zh-CN"/>
        </w:rPr>
        <w:t>，</w:t>
      </w:r>
      <w:r>
        <w:rPr>
          <w:rFonts w:hint="eastAsia" w:ascii="仿宋" w:hAnsi="仿宋" w:eastAsia="仿宋"/>
          <w:color w:val="000000"/>
          <w:sz w:val="28"/>
          <w:szCs w:val="28"/>
        </w:rPr>
        <w:t>确定院级评审</w:t>
      </w:r>
      <w:r>
        <w:rPr>
          <w:rFonts w:hint="eastAsia" w:ascii="仿宋" w:hAnsi="仿宋" w:eastAsia="仿宋"/>
          <w:color w:val="000000"/>
          <w:sz w:val="28"/>
          <w:szCs w:val="28"/>
          <w:lang w:eastAsia="zh-CN"/>
        </w:rPr>
        <w:t>结果。将评审结果报院长办公会审议通过，进行</w:t>
      </w:r>
      <w:r>
        <w:rPr>
          <w:rFonts w:hint="eastAsia" w:ascii="仿宋" w:hAnsi="仿宋" w:eastAsia="仿宋"/>
          <w:color w:val="000000"/>
          <w:sz w:val="28"/>
          <w:szCs w:val="28"/>
        </w:rPr>
        <w:t>公示</w:t>
      </w:r>
      <w:r>
        <w:rPr>
          <w:rFonts w:hint="eastAsia" w:ascii="仿宋" w:hAnsi="仿宋" w:eastAsia="仿宋"/>
          <w:color w:val="000000"/>
          <w:sz w:val="28"/>
          <w:szCs w:val="28"/>
          <w:lang w:eastAsia="zh-CN"/>
        </w:rPr>
        <w:t>。</w:t>
      </w:r>
    </w:p>
    <w:p>
      <w:pPr>
        <w:numPr>
          <w:ilvl w:val="0"/>
          <w:numId w:val="1"/>
        </w:numPr>
        <w:wordWrap/>
        <w:adjustRightInd/>
        <w:snapToGrid/>
        <w:spacing w:before="0" w:after="0" w:line="520" w:lineRule="exact"/>
        <w:ind w:left="0" w:leftChars="0" w:right="0" w:firstLine="560" w:firstLineChars="200"/>
        <w:jc w:val="both"/>
        <w:textAlignment w:val="auto"/>
        <w:outlineLvl w:val="9"/>
        <w:rPr>
          <w:rFonts w:ascii="仿宋" w:hAnsi="仿宋" w:eastAsia="仿宋"/>
          <w:color w:val="000000"/>
          <w:sz w:val="28"/>
          <w:szCs w:val="28"/>
        </w:rPr>
      </w:pPr>
      <w:r>
        <w:rPr>
          <w:rFonts w:hint="eastAsia" w:ascii="仿宋" w:hAnsi="仿宋" w:eastAsia="仿宋"/>
          <w:color w:val="000000"/>
          <w:sz w:val="28"/>
          <w:szCs w:val="28"/>
        </w:rPr>
        <w:t>评审</w:t>
      </w:r>
      <w:r>
        <w:rPr>
          <w:rFonts w:hint="eastAsia" w:ascii="仿宋" w:hAnsi="仿宋" w:eastAsia="仿宋"/>
          <w:color w:val="000000"/>
          <w:sz w:val="28"/>
          <w:szCs w:val="28"/>
          <w:lang w:eastAsia="zh-CN"/>
        </w:rPr>
        <w:t>结果公示无异议后，</w:t>
      </w:r>
      <w:r>
        <w:rPr>
          <w:rFonts w:hint="eastAsia" w:ascii="仿宋" w:hAnsi="仿宋" w:eastAsia="仿宋"/>
          <w:color w:val="000000"/>
          <w:sz w:val="28"/>
          <w:szCs w:val="28"/>
        </w:rPr>
        <w:t>按照名额分配方案的配额向省教育厅推荐。</w:t>
      </w:r>
    </w:p>
    <w:p>
      <w:pPr>
        <w:wordWrap/>
        <w:adjustRightInd/>
        <w:snapToGrid/>
        <w:spacing w:before="0" w:after="0" w:line="520" w:lineRule="exact"/>
        <w:ind w:left="0" w:leftChars="0" w:right="0" w:firstLine="562" w:firstLineChars="200"/>
        <w:jc w:val="both"/>
        <w:textAlignment w:val="auto"/>
        <w:outlineLvl w:val="9"/>
        <w:rPr>
          <w:rFonts w:ascii="仿宋" w:hAnsi="仿宋" w:eastAsia="仿宋"/>
          <w:b/>
          <w:color w:val="000000"/>
          <w:sz w:val="28"/>
          <w:szCs w:val="28"/>
        </w:rPr>
      </w:pPr>
      <w:r>
        <w:rPr>
          <w:rFonts w:hint="eastAsia" w:ascii="仿宋" w:hAnsi="仿宋" w:eastAsia="仿宋"/>
          <w:b/>
          <w:color w:val="000000"/>
          <w:sz w:val="28"/>
          <w:szCs w:val="28"/>
          <w:lang w:val="en-US" w:eastAsia="zh-CN"/>
        </w:rPr>
        <w:t>三</w:t>
      </w:r>
      <w:r>
        <w:rPr>
          <w:rFonts w:hint="eastAsia" w:ascii="仿宋" w:hAnsi="仿宋" w:eastAsia="仿宋"/>
          <w:b/>
          <w:color w:val="000000"/>
          <w:sz w:val="28"/>
          <w:szCs w:val="28"/>
        </w:rPr>
        <w:t>、申报材料</w:t>
      </w:r>
    </w:p>
    <w:p>
      <w:pPr>
        <w:widowControl/>
        <w:wordWrap/>
        <w:adjustRightInd/>
        <w:snapToGrid/>
        <w:spacing w:before="0" w:after="0" w:line="520" w:lineRule="exact"/>
        <w:ind w:left="0" w:leftChars="0" w:right="0" w:firstLine="560" w:firstLineChars="200"/>
        <w:jc w:val="both"/>
        <w:textAlignment w:val="auto"/>
        <w:outlineLvl w:val="9"/>
        <w:rPr>
          <w:rFonts w:hint="eastAsia" w:ascii="仿宋" w:hAnsi="仿宋" w:eastAsia="仿宋"/>
          <w:color w:val="000000"/>
          <w:sz w:val="28"/>
          <w:szCs w:val="28"/>
        </w:rPr>
      </w:pPr>
      <w:r>
        <w:rPr>
          <w:rFonts w:hint="eastAsia" w:ascii="仿宋" w:hAnsi="仿宋" w:eastAsia="仿宋"/>
          <w:color w:val="000000"/>
          <w:sz w:val="28"/>
          <w:szCs w:val="28"/>
        </w:rPr>
        <w:t>1.申报示范课程的课程负责人填写《课程思政示范课程和教学团队申报书》(附件1)、《课程思政示范课程和教学团队申报汇总表》(附件2)，并按申报书佐证材料清单(附件3)准备相关材料、全部佐证材料须整理到一个文档中，并转换为P</w:t>
      </w:r>
      <w:r>
        <w:rPr>
          <w:rFonts w:hint="eastAsia" w:ascii="仿宋" w:hAnsi="仿宋" w:eastAsia="仿宋"/>
          <w:color w:val="000000"/>
          <w:sz w:val="28"/>
          <w:szCs w:val="28"/>
          <w:lang w:val="en-US" w:eastAsia="zh-CN"/>
        </w:rPr>
        <w:t>DF</w:t>
      </w:r>
      <w:r>
        <w:rPr>
          <w:rFonts w:hint="eastAsia" w:ascii="仿宋" w:hAnsi="仿宋" w:eastAsia="仿宋"/>
          <w:color w:val="000000"/>
          <w:sz w:val="28"/>
          <w:szCs w:val="28"/>
        </w:rPr>
        <w:t>格式提交。</w:t>
      </w:r>
    </w:p>
    <w:p>
      <w:pPr>
        <w:widowControl/>
        <w:wordWrap/>
        <w:adjustRightInd/>
        <w:snapToGrid/>
        <w:spacing w:before="0" w:after="0" w:line="520" w:lineRule="exact"/>
        <w:ind w:left="0" w:leftChars="0" w:right="0" w:firstLine="560" w:firstLineChars="200"/>
        <w:jc w:val="both"/>
        <w:textAlignment w:val="auto"/>
        <w:outlineLvl w:val="9"/>
        <w:rPr>
          <w:rFonts w:hint="eastAsia" w:ascii="仿宋" w:hAnsi="仿宋" w:eastAsia="仿宋"/>
          <w:color w:val="000000"/>
          <w:sz w:val="28"/>
          <w:szCs w:val="28"/>
        </w:rPr>
      </w:pPr>
      <w:r>
        <w:rPr>
          <w:rFonts w:hint="eastAsia" w:ascii="仿宋" w:hAnsi="仿宋" w:eastAsia="仿宋"/>
          <w:color w:val="000000"/>
          <w:sz w:val="28"/>
          <w:szCs w:val="28"/>
        </w:rPr>
        <w:t>2.申报课程思政教学研究示范中心的高校相关负责人填写《课程思政教学研究示范中心申报书》(附件4)、《课程思政教学研究示范中心申报汇总表》(附件5)，并根据申报书填写内容提供佐证材料，内容自定。</w:t>
      </w:r>
    </w:p>
    <w:p>
      <w:pPr>
        <w:widowControl/>
        <w:wordWrap/>
        <w:adjustRightInd/>
        <w:snapToGrid/>
        <w:spacing w:before="0" w:after="0" w:line="520" w:lineRule="exact"/>
        <w:ind w:left="0" w:leftChars="0" w:right="0" w:firstLine="560" w:firstLineChars="200"/>
        <w:jc w:val="both"/>
        <w:textAlignment w:val="auto"/>
        <w:outlineLvl w:val="9"/>
        <w:rPr>
          <w:rFonts w:hint="eastAsia" w:ascii="仿宋" w:hAnsi="仿宋" w:eastAsia="仿宋"/>
          <w:color w:val="000000"/>
          <w:sz w:val="28"/>
          <w:szCs w:val="28"/>
        </w:rPr>
      </w:pPr>
      <w:r>
        <w:rPr>
          <w:rFonts w:hint="eastAsia" w:ascii="仿宋" w:hAnsi="仿宋" w:eastAsia="仿宋"/>
          <w:color w:val="000000"/>
          <w:sz w:val="28"/>
          <w:szCs w:val="28"/>
        </w:rPr>
        <w:t>3.佐证材料中，每门示范课程均须提供1学时代表性课程教学的完整视频(资源库使用，格式见申报书要求)和从中截取的10分钟教学片段(评审使用，视频参数大小500M以内、分辨率1280*720、格式mp4);每个示范中心须提供10分钟左右展示中心建设理念、措施及成果的视频(格式同示范课程)。</w:t>
      </w:r>
    </w:p>
    <w:p>
      <w:pPr>
        <w:wordWrap/>
        <w:adjustRightInd/>
        <w:snapToGrid/>
        <w:spacing w:before="0" w:after="0" w:line="520" w:lineRule="exact"/>
        <w:ind w:left="0" w:leftChars="0" w:right="0"/>
        <w:jc w:val="both"/>
        <w:textAlignment w:val="auto"/>
        <w:outlineLvl w:val="9"/>
        <w:rPr>
          <w:rFonts w:ascii="仿宋" w:hAnsi="仿宋" w:eastAsia="仿宋"/>
          <w:color w:val="000000"/>
          <w:sz w:val="28"/>
          <w:szCs w:val="28"/>
        </w:rPr>
      </w:pPr>
      <w:r>
        <w:rPr>
          <w:rFonts w:hint="eastAsia" w:ascii="仿宋" w:hAnsi="仿宋" w:eastAsia="仿宋"/>
          <w:color w:val="000000"/>
          <w:sz w:val="28"/>
          <w:szCs w:val="28"/>
        </w:rPr>
        <w:t>　　4.各系</w:t>
      </w:r>
      <w:r>
        <w:rPr>
          <w:rFonts w:hint="eastAsia" w:ascii="仿宋" w:hAnsi="仿宋" w:eastAsia="仿宋"/>
          <w:color w:val="000000"/>
          <w:sz w:val="28"/>
          <w:szCs w:val="28"/>
          <w:lang w:eastAsia="zh-CN"/>
        </w:rPr>
        <w:t>（</w:t>
      </w:r>
      <w:r>
        <w:rPr>
          <w:rFonts w:hint="eastAsia" w:ascii="仿宋" w:hAnsi="仿宋" w:eastAsia="仿宋"/>
          <w:color w:val="000000"/>
          <w:sz w:val="28"/>
          <w:szCs w:val="28"/>
        </w:rPr>
        <w:t>部</w:t>
      </w:r>
      <w:r>
        <w:rPr>
          <w:rFonts w:hint="eastAsia" w:ascii="仿宋" w:hAnsi="仿宋" w:eastAsia="仿宋"/>
          <w:color w:val="000000"/>
          <w:sz w:val="28"/>
          <w:szCs w:val="28"/>
          <w:lang w:eastAsia="zh-CN"/>
        </w:rPr>
        <w:t>）</w:t>
      </w:r>
      <w:r>
        <w:rPr>
          <w:rFonts w:hint="eastAsia" w:ascii="仿宋" w:hAnsi="仿宋" w:eastAsia="仿宋"/>
          <w:color w:val="000000"/>
          <w:sz w:val="28"/>
          <w:szCs w:val="28"/>
        </w:rPr>
        <w:t>需在202</w:t>
      </w:r>
      <w:r>
        <w:rPr>
          <w:rFonts w:hint="eastAsia" w:ascii="仿宋" w:hAnsi="仿宋" w:eastAsia="仿宋"/>
          <w:color w:val="000000"/>
          <w:sz w:val="28"/>
          <w:szCs w:val="28"/>
          <w:lang w:val="en-US" w:eastAsia="zh-CN"/>
        </w:rPr>
        <w:t>1</w:t>
      </w:r>
      <w:r>
        <w:rPr>
          <w:rFonts w:hint="eastAsia" w:ascii="仿宋" w:hAnsi="仿宋" w:eastAsia="仿宋"/>
          <w:color w:val="000000"/>
          <w:sz w:val="28"/>
          <w:szCs w:val="28"/>
        </w:rPr>
        <w:t>年</w:t>
      </w:r>
      <w:r>
        <w:rPr>
          <w:rFonts w:hint="eastAsia" w:ascii="仿宋" w:hAnsi="仿宋" w:eastAsia="仿宋"/>
          <w:color w:val="000000"/>
          <w:sz w:val="28"/>
          <w:szCs w:val="28"/>
          <w:lang w:val="en-US" w:eastAsia="zh-CN"/>
        </w:rPr>
        <w:t>12</w:t>
      </w:r>
      <w:r>
        <w:rPr>
          <w:rFonts w:hint="eastAsia" w:ascii="仿宋" w:hAnsi="仿宋" w:eastAsia="仿宋"/>
          <w:color w:val="000000"/>
          <w:sz w:val="28"/>
          <w:szCs w:val="28"/>
        </w:rPr>
        <w:t>月</w:t>
      </w:r>
      <w:r>
        <w:rPr>
          <w:rFonts w:hint="eastAsia" w:ascii="仿宋" w:hAnsi="仿宋" w:eastAsia="仿宋"/>
          <w:color w:val="000000"/>
          <w:sz w:val="28"/>
          <w:szCs w:val="28"/>
          <w:lang w:val="en-US" w:eastAsia="zh-CN"/>
        </w:rPr>
        <w:t>7</w:t>
      </w:r>
      <w:r>
        <w:rPr>
          <w:rFonts w:hint="eastAsia" w:ascii="仿宋" w:hAnsi="仿宋" w:eastAsia="仿宋"/>
          <w:color w:val="000000"/>
          <w:sz w:val="28"/>
          <w:szCs w:val="28"/>
        </w:rPr>
        <w:t>日1</w:t>
      </w:r>
      <w:r>
        <w:rPr>
          <w:rFonts w:hint="eastAsia" w:ascii="仿宋" w:hAnsi="仿宋" w:eastAsia="仿宋"/>
          <w:color w:val="000000"/>
          <w:sz w:val="28"/>
          <w:szCs w:val="28"/>
          <w:lang w:val="en-US" w:eastAsia="zh-CN"/>
        </w:rPr>
        <w:t>1</w:t>
      </w:r>
      <w:r>
        <w:rPr>
          <w:rFonts w:hint="eastAsia" w:ascii="仿宋" w:hAnsi="仿宋" w:eastAsia="仿宋"/>
          <w:color w:val="000000"/>
          <w:sz w:val="28"/>
          <w:szCs w:val="28"/>
        </w:rPr>
        <w:t>:00前，将申报材料、视频文件（见附件）电子版及纸质材料</w:t>
      </w:r>
      <w:r>
        <w:rPr>
          <w:rFonts w:hint="eastAsia" w:ascii="仿宋" w:hAnsi="仿宋" w:eastAsia="仿宋"/>
          <w:color w:val="000000"/>
          <w:sz w:val="28"/>
          <w:szCs w:val="28"/>
          <w:lang w:eastAsia="zh-CN"/>
        </w:rPr>
        <w:t>一份</w:t>
      </w:r>
      <w:r>
        <w:rPr>
          <w:rFonts w:hint="eastAsia" w:ascii="仿宋" w:hAnsi="仿宋" w:eastAsia="仿宋"/>
          <w:color w:val="000000"/>
          <w:sz w:val="28"/>
          <w:szCs w:val="28"/>
        </w:rPr>
        <w:t>报教务处。</w:t>
      </w:r>
    </w:p>
    <w:p>
      <w:pPr>
        <w:wordWrap/>
        <w:adjustRightInd/>
        <w:snapToGrid/>
        <w:spacing w:before="0" w:after="0" w:line="520" w:lineRule="exact"/>
        <w:ind w:left="0" w:leftChars="0" w:right="0"/>
        <w:jc w:val="both"/>
        <w:textAlignment w:val="auto"/>
        <w:outlineLvl w:val="9"/>
        <w:rPr>
          <w:rFonts w:hint="eastAsia" w:ascii="仿宋" w:hAnsi="仿宋" w:eastAsia="仿宋"/>
          <w:color w:val="000000"/>
          <w:sz w:val="28"/>
          <w:szCs w:val="28"/>
        </w:rPr>
      </w:pPr>
      <w:r>
        <w:rPr>
          <w:rFonts w:hint="eastAsia" w:ascii="仿宋" w:hAnsi="仿宋" w:eastAsia="仿宋"/>
          <w:color w:val="000000"/>
          <w:sz w:val="28"/>
          <w:szCs w:val="28"/>
        </w:rPr>
        <w:t>　　　附件：1.课程思政示范课程和教学团队申报书</w:t>
      </w:r>
    </w:p>
    <w:p>
      <w:pPr>
        <w:wordWrap/>
        <w:adjustRightInd/>
        <w:snapToGrid/>
        <w:spacing w:before="0" w:after="0" w:line="520" w:lineRule="exact"/>
        <w:ind w:left="0" w:leftChars="0" w:right="0"/>
        <w:jc w:val="both"/>
        <w:textAlignment w:val="auto"/>
        <w:outlineLvl w:val="9"/>
        <w:rPr>
          <w:rFonts w:hint="eastAsia" w:ascii="仿宋" w:hAnsi="仿宋" w:eastAsia="仿宋"/>
          <w:color w:val="000000"/>
          <w:sz w:val="28"/>
          <w:szCs w:val="28"/>
        </w:rPr>
      </w:pPr>
      <w:r>
        <w:rPr>
          <w:rFonts w:hint="eastAsia" w:ascii="仿宋" w:hAnsi="仿宋" w:eastAsia="仿宋"/>
          <w:color w:val="000000"/>
          <w:sz w:val="28"/>
          <w:szCs w:val="28"/>
        </w:rPr>
        <w:t>　　　　　　2.课程思政示范课程和教学团队申报汇总表</w:t>
      </w:r>
    </w:p>
    <w:p>
      <w:pPr>
        <w:wordWrap/>
        <w:adjustRightInd/>
        <w:snapToGrid/>
        <w:spacing w:before="0" w:after="0" w:line="520" w:lineRule="exact"/>
        <w:ind w:left="0" w:leftChars="0" w:right="0"/>
        <w:jc w:val="both"/>
        <w:textAlignment w:val="auto"/>
        <w:outlineLvl w:val="9"/>
        <w:rPr>
          <w:rFonts w:hint="eastAsia" w:ascii="仿宋" w:hAnsi="仿宋" w:eastAsia="仿宋"/>
          <w:color w:val="000000"/>
          <w:sz w:val="28"/>
          <w:szCs w:val="28"/>
        </w:rPr>
      </w:pPr>
      <w:r>
        <w:rPr>
          <w:rFonts w:hint="eastAsia" w:ascii="仿宋" w:hAnsi="仿宋" w:eastAsia="仿宋"/>
          <w:color w:val="000000"/>
          <w:sz w:val="28"/>
          <w:szCs w:val="28"/>
        </w:rPr>
        <w:t>　　　　　　3.课程思政示范课程和教学团队佐证材料清单</w:t>
      </w:r>
    </w:p>
    <w:p>
      <w:pPr>
        <w:wordWrap/>
        <w:adjustRightInd/>
        <w:snapToGrid/>
        <w:spacing w:before="0" w:after="0" w:line="520" w:lineRule="exact"/>
        <w:ind w:left="0" w:leftChars="0" w:right="0"/>
        <w:jc w:val="both"/>
        <w:textAlignment w:val="auto"/>
        <w:outlineLvl w:val="9"/>
        <w:rPr>
          <w:rFonts w:hint="eastAsia" w:ascii="仿宋" w:hAnsi="仿宋" w:eastAsia="仿宋"/>
          <w:color w:val="000000"/>
          <w:sz w:val="28"/>
          <w:szCs w:val="28"/>
        </w:rPr>
      </w:pPr>
      <w:r>
        <w:rPr>
          <w:rFonts w:hint="eastAsia" w:ascii="仿宋" w:hAnsi="仿宋" w:eastAsia="仿宋"/>
          <w:color w:val="000000"/>
          <w:sz w:val="28"/>
          <w:szCs w:val="28"/>
        </w:rPr>
        <w:t>　　　　　　4.课程思政教学研究示范中心申报书</w:t>
      </w:r>
    </w:p>
    <w:p>
      <w:pPr>
        <w:wordWrap/>
        <w:adjustRightInd/>
        <w:snapToGrid/>
        <w:spacing w:before="0" w:after="0" w:line="520" w:lineRule="exact"/>
        <w:ind w:left="0" w:leftChars="0" w:right="0"/>
        <w:jc w:val="both"/>
        <w:textAlignment w:val="auto"/>
        <w:outlineLvl w:val="9"/>
        <w:rPr>
          <w:rFonts w:ascii="仿宋" w:hAnsi="仿宋" w:eastAsia="仿宋"/>
          <w:color w:val="000000"/>
          <w:sz w:val="28"/>
          <w:szCs w:val="28"/>
        </w:rPr>
      </w:pPr>
      <w:r>
        <w:rPr>
          <w:rFonts w:hint="eastAsia" w:ascii="仿宋" w:hAnsi="仿宋" w:eastAsia="仿宋"/>
          <w:color w:val="000000"/>
          <w:sz w:val="28"/>
          <w:szCs w:val="28"/>
        </w:rPr>
        <w:t>　　　　　　5.课程思政教学研究示范中心申报汇总表</w:t>
      </w:r>
    </w:p>
    <w:p>
      <w:pPr>
        <w:wordWrap/>
        <w:adjustRightInd/>
        <w:snapToGrid/>
        <w:spacing w:before="0" w:after="0" w:line="520" w:lineRule="exact"/>
        <w:ind w:left="0" w:leftChars="0" w:right="0"/>
        <w:jc w:val="both"/>
        <w:textAlignment w:val="auto"/>
        <w:outlineLvl w:val="9"/>
        <w:rPr>
          <w:rFonts w:ascii="仿宋" w:hAnsi="仿宋" w:eastAsia="仿宋"/>
          <w:color w:val="000000"/>
          <w:sz w:val="28"/>
          <w:szCs w:val="28"/>
        </w:rPr>
      </w:pPr>
      <w:r>
        <w:rPr>
          <w:rFonts w:hint="eastAsia" w:ascii="仿宋" w:hAnsi="仿宋" w:eastAsia="仿宋"/>
          <w:color w:val="000000"/>
          <w:sz w:val="28"/>
          <w:szCs w:val="28"/>
        </w:rPr>
        <w:t>　　</w:t>
      </w:r>
    </w:p>
    <w:p>
      <w:pPr>
        <w:wordWrap/>
        <w:adjustRightInd/>
        <w:snapToGrid/>
        <w:spacing w:before="0" w:after="0" w:line="520" w:lineRule="exact"/>
        <w:ind w:left="0" w:leftChars="0" w:right="0"/>
        <w:jc w:val="both"/>
        <w:textAlignment w:val="auto"/>
        <w:outlineLvl w:val="9"/>
        <w:rPr>
          <w:rFonts w:ascii="仿宋" w:hAnsi="仿宋" w:eastAsia="仿宋"/>
          <w:color w:val="000000"/>
          <w:sz w:val="28"/>
          <w:szCs w:val="28"/>
        </w:rPr>
      </w:pPr>
      <w:r>
        <w:rPr>
          <w:rFonts w:hint="eastAsia" w:ascii="仿宋" w:hAnsi="仿宋" w:eastAsia="仿宋"/>
          <w:color w:val="000000"/>
          <w:sz w:val="28"/>
          <w:szCs w:val="28"/>
        </w:rPr>
        <w:t>　　　　　　　　　　　　　　　　</w:t>
      </w:r>
    </w:p>
    <w:p>
      <w:pPr>
        <w:wordWrap/>
        <w:adjustRightInd/>
        <w:snapToGrid/>
        <w:spacing w:before="0" w:after="0" w:line="520" w:lineRule="exact"/>
        <w:ind w:left="0" w:leftChars="0" w:right="0"/>
        <w:jc w:val="both"/>
        <w:textAlignment w:val="auto"/>
        <w:outlineLvl w:val="9"/>
        <w:rPr>
          <w:rFonts w:ascii="仿宋" w:hAnsi="仿宋" w:eastAsia="仿宋"/>
          <w:color w:val="000000"/>
          <w:sz w:val="28"/>
          <w:szCs w:val="28"/>
        </w:rPr>
      </w:pPr>
      <w:r>
        <w:rPr>
          <w:rFonts w:hint="eastAsia" w:ascii="仿宋" w:hAnsi="仿宋" w:eastAsia="仿宋"/>
          <w:color w:val="000000"/>
          <w:sz w:val="28"/>
          <w:szCs w:val="28"/>
        </w:rPr>
        <w:t>　　　　　　　　　　　　　　　　</w:t>
      </w:r>
    </w:p>
    <w:p>
      <w:pPr>
        <w:wordWrap/>
        <w:adjustRightInd/>
        <w:snapToGrid/>
        <w:spacing w:before="0" w:after="0" w:line="520" w:lineRule="exact"/>
        <w:ind w:left="0" w:leftChars="0" w:right="0"/>
        <w:jc w:val="both"/>
        <w:textAlignment w:val="auto"/>
        <w:outlineLvl w:val="9"/>
        <w:rPr>
          <w:rFonts w:ascii="仿宋" w:hAnsi="仿宋" w:eastAsia="仿宋"/>
          <w:color w:val="000000"/>
          <w:sz w:val="28"/>
          <w:szCs w:val="28"/>
        </w:rPr>
      </w:pPr>
      <w:r>
        <w:rPr>
          <w:rFonts w:hint="eastAsia" w:ascii="仿宋" w:hAnsi="仿宋" w:eastAsia="仿宋"/>
          <w:color w:val="000000"/>
          <w:sz w:val="28"/>
          <w:szCs w:val="28"/>
        </w:rPr>
        <w:t>　　　　　　　　　　　　　　　　　          教务处　</w:t>
      </w:r>
      <w:r>
        <w:rPr>
          <w:rFonts w:hint="eastAsia" w:ascii="仿宋" w:hAnsi="仿宋" w:eastAsia="仿宋"/>
          <w:color w:val="000000"/>
          <w:sz w:val="28"/>
          <w:szCs w:val="28"/>
        </w:rPr>
        <w:tab/>
      </w:r>
      <w:r>
        <w:rPr>
          <w:rFonts w:hint="eastAsia" w:ascii="仿宋" w:hAnsi="仿宋" w:eastAsia="仿宋"/>
          <w:color w:val="000000"/>
          <w:sz w:val="28"/>
          <w:szCs w:val="28"/>
        </w:rPr>
        <w:tab/>
      </w:r>
      <w:r>
        <w:rPr>
          <w:rFonts w:hint="eastAsia" w:ascii="仿宋" w:hAnsi="仿宋" w:eastAsia="仿宋"/>
          <w:color w:val="000000"/>
          <w:sz w:val="28"/>
          <w:szCs w:val="28"/>
        </w:rPr>
        <w:tab/>
      </w:r>
      <w:r>
        <w:rPr>
          <w:rFonts w:hint="eastAsia" w:ascii="仿宋" w:hAnsi="仿宋" w:eastAsia="仿宋"/>
          <w:color w:val="000000"/>
          <w:sz w:val="28"/>
          <w:szCs w:val="28"/>
        </w:rPr>
        <w:tab/>
      </w:r>
      <w:r>
        <w:rPr>
          <w:rFonts w:hint="eastAsia" w:ascii="仿宋" w:hAnsi="仿宋" w:eastAsia="仿宋"/>
          <w:color w:val="000000"/>
          <w:sz w:val="28"/>
          <w:szCs w:val="28"/>
        </w:rPr>
        <w:tab/>
      </w:r>
      <w:r>
        <w:rPr>
          <w:rFonts w:hint="eastAsia" w:ascii="仿宋" w:hAnsi="仿宋" w:eastAsia="仿宋"/>
          <w:color w:val="000000"/>
          <w:sz w:val="28"/>
          <w:szCs w:val="28"/>
        </w:rPr>
        <w:tab/>
      </w:r>
      <w:r>
        <w:rPr>
          <w:rFonts w:hint="eastAsia" w:ascii="仿宋" w:hAnsi="仿宋" w:eastAsia="仿宋"/>
          <w:color w:val="000000"/>
          <w:sz w:val="28"/>
          <w:szCs w:val="28"/>
        </w:rPr>
        <w:tab/>
      </w:r>
      <w:r>
        <w:rPr>
          <w:rFonts w:hint="eastAsia" w:ascii="仿宋" w:hAnsi="仿宋" w:eastAsia="仿宋"/>
          <w:color w:val="000000"/>
          <w:sz w:val="28"/>
          <w:szCs w:val="28"/>
        </w:rPr>
        <w:tab/>
      </w:r>
      <w:r>
        <w:rPr>
          <w:rFonts w:hint="eastAsia" w:ascii="仿宋" w:hAnsi="仿宋" w:eastAsia="仿宋"/>
          <w:color w:val="000000"/>
          <w:sz w:val="28"/>
          <w:szCs w:val="28"/>
        </w:rPr>
        <w:tab/>
      </w:r>
      <w:r>
        <w:rPr>
          <w:rFonts w:hint="eastAsia" w:ascii="仿宋" w:hAnsi="仿宋" w:eastAsia="仿宋"/>
          <w:color w:val="000000"/>
          <w:sz w:val="28"/>
          <w:szCs w:val="28"/>
        </w:rPr>
        <w:tab/>
      </w:r>
      <w:r>
        <w:rPr>
          <w:rFonts w:ascii="仿宋" w:hAnsi="仿宋" w:eastAsia="仿宋"/>
          <w:color w:val="000000"/>
          <w:sz w:val="28"/>
          <w:szCs w:val="28"/>
        </w:rPr>
        <w:t xml:space="preserve">               </w:t>
      </w:r>
      <w:r>
        <w:rPr>
          <w:rFonts w:hint="eastAsia" w:ascii="仿宋" w:hAnsi="仿宋" w:eastAsia="仿宋"/>
          <w:color w:val="000000"/>
          <w:sz w:val="28"/>
          <w:szCs w:val="28"/>
        </w:rPr>
        <w:t>202</w:t>
      </w:r>
      <w:r>
        <w:rPr>
          <w:rFonts w:hint="eastAsia" w:ascii="仿宋" w:hAnsi="仿宋" w:eastAsia="仿宋"/>
          <w:color w:val="000000"/>
          <w:sz w:val="28"/>
          <w:szCs w:val="28"/>
          <w:lang w:val="en-US" w:eastAsia="zh-CN"/>
        </w:rPr>
        <w:t>1</w:t>
      </w:r>
      <w:r>
        <w:rPr>
          <w:rFonts w:hint="eastAsia" w:ascii="仿宋" w:hAnsi="仿宋" w:eastAsia="仿宋"/>
          <w:color w:val="000000"/>
          <w:sz w:val="28"/>
          <w:szCs w:val="28"/>
        </w:rPr>
        <w:t>年</w:t>
      </w:r>
      <w:r>
        <w:rPr>
          <w:rFonts w:hint="eastAsia" w:ascii="仿宋" w:hAnsi="仿宋" w:eastAsia="仿宋"/>
          <w:color w:val="000000"/>
          <w:sz w:val="28"/>
          <w:szCs w:val="28"/>
          <w:lang w:val="en-US" w:eastAsia="zh-CN"/>
        </w:rPr>
        <w:t>12</w:t>
      </w:r>
      <w:r>
        <w:rPr>
          <w:rFonts w:hint="eastAsia" w:ascii="仿宋" w:hAnsi="仿宋" w:eastAsia="仿宋"/>
          <w:color w:val="000000"/>
          <w:sz w:val="28"/>
          <w:szCs w:val="28"/>
        </w:rPr>
        <w:t>月</w:t>
      </w:r>
      <w:r>
        <w:rPr>
          <w:rFonts w:hint="eastAsia" w:ascii="仿宋" w:hAnsi="仿宋" w:eastAsia="仿宋"/>
          <w:color w:val="000000"/>
          <w:sz w:val="28"/>
          <w:szCs w:val="28"/>
          <w:lang w:val="en-US" w:eastAsia="zh-CN"/>
        </w:rPr>
        <w:t>1</w:t>
      </w:r>
      <w:r>
        <w:rPr>
          <w:rFonts w:hint="eastAsia" w:ascii="仿宋" w:hAnsi="仿宋" w:eastAsia="仿宋"/>
          <w:color w:val="000000"/>
          <w:sz w:val="28"/>
          <w:szCs w:val="28"/>
        </w:rPr>
        <w:t>日</w:t>
      </w: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7"/>
    <w:multiLevelType w:val="singleLevel"/>
    <w:tmpl w:val="00000007"/>
    <w:lvl w:ilvl="0" w:tentative="0">
      <w:start w:val="3"/>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E470888"/>
    <w:rsid w:val="35CB2CF0"/>
    <w:rsid w:val="55B554A1"/>
    <w:rsid w:val="6D504B96"/>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6">
    <w:name w:val="Default Paragraph Fon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link w:val="8"/>
    <w:uiPriority w:val="0"/>
    <w:pPr>
      <w:tabs>
        <w:tab w:val="center" w:pos="4153"/>
        <w:tab w:val="right" w:pos="8306"/>
      </w:tabs>
      <w:snapToGrid w:val="0"/>
      <w:jc w:val="left"/>
    </w:pPr>
    <w:rPr>
      <w:sz w:val="18"/>
      <w:szCs w:val="18"/>
    </w:rPr>
  </w:style>
  <w:style w:type="paragraph" w:styleId="3">
    <w:name w:val="header"/>
    <w:basedOn w:val="1"/>
    <w:link w:val="7"/>
    <w:qFormat/>
    <w:uiPriority w:val="0"/>
    <w:pPr>
      <w:pBdr>
        <w:bottom w:val="single" w:color="auto" w:sz="6" w:space="1"/>
      </w:pBdr>
      <w:tabs>
        <w:tab w:val="center" w:pos="4153"/>
        <w:tab w:val="right" w:pos="8306"/>
      </w:tabs>
      <w:snapToGrid w:val="0"/>
      <w:jc w:val="center"/>
    </w:pPr>
    <w:rPr>
      <w:sz w:val="18"/>
      <w:szCs w:val="18"/>
    </w:rPr>
  </w:style>
  <w:style w:type="paragraph" w:styleId="4">
    <w:name w:val="Normal (Web)"/>
    <w:basedOn w:val="1"/>
    <w:uiPriority w:val="0"/>
    <w:pPr>
      <w:spacing w:before="0" w:beforeAutospacing="1" w:after="0" w:afterAutospacing="1"/>
      <w:ind w:left="0" w:right="0"/>
      <w:jc w:val="left"/>
    </w:pPr>
    <w:rPr>
      <w:kern w:val="0"/>
      <w:sz w:val="24"/>
      <w:lang w:val="en-US" w:eastAsia="zh-CN" w:bidi="ar"/>
    </w:rPr>
  </w:style>
  <w:style w:type="character" w:customStyle="1" w:styleId="7">
    <w:name w:val="页眉 字符"/>
    <w:basedOn w:val="6"/>
    <w:link w:val="3"/>
    <w:semiHidden/>
    <w:uiPriority w:val="0"/>
    <w:rPr>
      <w:sz w:val="18"/>
      <w:szCs w:val="18"/>
    </w:rPr>
  </w:style>
  <w:style w:type="character" w:customStyle="1" w:styleId="8">
    <w:name w:val="页脚 字符"/>
    <w:basedOn w:val="6"/>
    <w:link w:val="2"/>
    <w:semiHidden/>
    <w:uiPriority w:val="0"/>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4</Pages>
  <Words>290</Words>
  <Characters>1653</Characters>
  <Lines>13</Lines>
  <Paragraphs>3</Paragraphs>
  <TotalTime>11</TotalTime>
  <ScaleCrop>false</ScaleCrop>
  <LinksUpToDate>false</LinksUpToDate>
  <CharactersWithSpaces>0</CharactersWithSpaces>
  <Application>WPS Office_11.1.0.10700_F1E327BC-269C-435d-A152-05C5408002CA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2020-09-23T18:39:00Z</dcterms:created>
  <dc:creator>PC</dc:creator>
  <cp:lastModifiedBy>侯音</cp:lastModifiedBy>
  <dcterms:modified xsi:type="dcterms:W3CDTF">2021-12-01T06:46:39Z</dcterms:modified>
  <dc:title>THINK</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2052-11.1.0.10700</vt:lpwstr>
  </property>
  <property fmtid="{D5CDD505-2E9C-101B-9397-08002B2CF9AE}" pid="3" name="ICV">
    <vt:lpwstr>27B01405818049EAA80941177270CD3F</vt:lpwstr>
  </property>
</Properties>
</file>