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jc w:val="center"/>
        <w:rPr>
          <w:rFonts w:hint="eastAsia" w:ascii="黑体" w:hAnsi="黑体" w:eastAsia="黑体" w:cs="黑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44"/>
          <w:szCs w:val="44"/>
          <w:lang w:eastAsia="zh-CN"/>
        </w:rPr>
        <w:t>中国特色高水平高职学校和专业建设</w:t>
      </w:r>
      <w:r>
        <w:rPr>
          <w:rFonts w:hint="eastAsia" w:ascii="黑体" w:hAnsi="黑体" w:eastAsia="黑体" w:cs="黑体"/>
          <w:b/>
          <w:bCs/>
          <w:color w:val="auto"/>
          <w:sz w:val="44"/>
          <w:szCs w:val="44"/>
          <w:lang w:val="en-US" w:eastAsia="zh-CN"/>
        </w:rPr>
        <w:t>2022年建设任务</w:t>
      </w:r>
    </w:p>
    <w:tbl>
      <w:tblPr>
        <w:tblStyle w:val="2"/>
        <w:tblW w:w="52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669"/>
        <w:gridCol w:w="1162"/>
        <w:gridCol w:w="1770"/>
        <w:gridCol w:w="4917"/>
        <w:gridCol w:w="1200"/>
        <w:gridCol w:w="1815"/>
        <w:gridCol w:w="1320"/>
        <w:gridCol w:w="1320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06" w:hRule="atLeast"/>
          <w:tblHeader/>
        </w:trPr>
        <w:tc>
          <w:tcPr>
            <w:tcW w:w="215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序号</w:t>
            </w:r>
          </w:p>
        </w:tc>
        <w:tc>
          <w:tcPr>
            <w:tcW w:w="946" w:type="pct"/>
            <w:gridSpan w:val="2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建设任务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年度目标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b/>
                <w:bCs/>
                <w:color w:val="auto"/>
                <w:sz w:val="21"/>
                <w:szCs w:val="21"/>
                <w:lang w:val="en-US" w:eastAsia="zh-CN"/>
              </w:rPr>
              <w:t>负责人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b/>
                <w:bCs/>
                <w:color w:val="auto"/>
                <w:sz w:val="21"/>
                <w:szCs w:val="21"/>
                <w:lang w:val="en-US" w:eastAsia="zh-CN"/>
              </w:rPr>
              <w:t>负责部门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b/>
                <w:bCs/>
                <w:color w:val="auto"/>
                <w:sz w:val="21"/>
                <w:szCs w:val="21"/>
                <w:lang w:val="en-US" w:eastAsia="zh-CN"/>
              </w:rPr>
              <w:t>主管领导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b/>
                <w:bCs/>
                <w:color w:val="auto"/>
                <w:sz w:val="21"/>
                <w:szCs w:val="21"/>
                <w:lang w:val="en-US" w:eastAsia="zh-CN"/>
              </w:rPr>
              <w:t>财政（万元）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b/>
                <w:bCs/>
                <w:color w:val="auto"/>
                <w:sz w:val="21"/>
                <w:szCs w:val="21"/>
                <w:lang w:val="en-US" w:eastAsia="zh-CN"/>
              </w:rPr>
              <w:t>学校（万元）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782" w:hRule="atLeast"/>
        </w:trPr>
        <w:tc>
          <w:tcPr>
            <w:tcW w:w="215" w:type="pct"/>
            <w:vMerge w:val="restar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1</w:t>
            </w:r>
          </w:p>
        </w:tc>
        <w:tc>
          <w:tcPr>
            <w:tcW w:w="374" w:type="pct"/>
            <w:vMerge w:val="restar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加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强党的建设，为建设中国特色高水平高职院校提供坚强政治保证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571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1-1用“四个意识”导航，牢牢掌握学校工作的领导权和思想政治工作的主导权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完善《党政联席会议制度》。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完善舆情监控体系。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开展年度意识形态工作考核。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落实党风廉政建设责任制。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总结验收课程思政建设，深化提升改进。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持续推进“三全育人”工作。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石海涛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宣传统战部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高明学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801" w:hRule="atLeast"/>
        </w:trPr>
        <w:tc>
          <w:tcPr>
            <w:tcW w:w="215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374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571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1-2强力推进立德树人四大“铸魂工程”，培养担当民族复兴大任的时代新人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举办“M810”训练班。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开展学生综合素养提升认证。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开展“三进”工作知识竞赛。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举办思政课教师公开课观摩活动。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实施小班或中班上课。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完善学生“八位一体”综合素养提升体系。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王秀艳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学工部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张秀霞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641" w:hRule="atLeast"/>
        </w:trPr>
        <w:tc>
          <w:tcPr>
            <w:tcW w:w="215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374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571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1-3着力建设基层党建四大“强基工程”，让党组织与党员成为助推事业发展的坚强战斗堡垒和先锋模范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建立服务接触点、实践教育点。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建设网上党建工作平台。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到学生实习地区进行回访，并进行考察谈话。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培养农民工学生党员和入党积极份子。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建立优秀党支部书记风采展示平台。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潘忠立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组织部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高明学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869" w:hRule="atLeast"/>
        </w:trPr>
        <w:tc>
          <w:tcPr>
            <w:tcW w:w="215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2</w:t>
            </w:r>
          </w:p>
        </w:tc>
        <w:tc>
          <w:tcPr>
            <w:tcW w:w="374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构建“五线合一、三化并行”体系，打造技术技能人才培养高地</w:t>
            </w:r>
          </w:p>
        </w:tc>
        <w:tc>
          <w:tcPr>
            <w:tcW w:w="571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2-1构建“五线合一、三化并行”的复合型人才培养体系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6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6"/>
                <w:sz w:val="21"/>
                <w:szCs w:val="21"/>
              </w:rPr>
              <w:t>为近1000名学生进行职业资格认证。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建成综合职业认证平台，面向学生、社会从业人员提供相应专业证书考试的培训与考试服务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  <w:t>为500名社会从业人员进行技能认证。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开展龙建校园文化品牌活动5项。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培养300农民工，培训6000农民工。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  <w:t>构建5大德育课程（体育健康、思想政治、龙江精神、职业职场、人文艺术）。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构建“课程思政”示范专业群1个和课程15门。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李  宏</w:t>
            </w:r>
          </w:p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王秀艳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教务处</w:t>
            </w:r>
          </w:p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继续教育学院</w:t>
            </w:r>
          </w:p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学工部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张秀霞</w:t>
            </w:r>
          </w:p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175" w:hRule="atLeast"/>
        </w:trPr>
        <w:tc>
          <w:tcPr>
            <w:tcW w:w="215" w:type="pct"/>
            <w:vMerge w:val="restar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2</w:t>
            </w:r>
          </w:p>
        </w:tc>
        <w:tc>
          <w:tcPr>
            <w:tcW w:w="374" w:type="pct"/>
            <w:vMerge w:val="restar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构建“五线合一、三化并行”体系，打造技术技能人才培养高地</w:t>
            </w:r>
          </w:p>
        </w:tc>
        <w:tc>
          <w:tcPr>
            <w:tcW w:w="571" w:type="pct"/>
            <w:tcBorders>
              <w:lef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2-2构建思政教育虚拟实践教学平台，打造黑龙江省内思想政治示范教学基地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建成集教学、实训、体验功能于一体的人才培养中心，将虚拟现实技术与新时代龙江精神相结合，建成9个场景的龙江精神展厅。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建成20个场景的红色之旅展厅。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崔志刚</w:t>
            </w:r>
          </w:p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思政部</w:t>
            </w:r>
          </w:p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教务处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高明学</w:t>
            </w:r>
          </w:p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240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69" w:hRule="atLeast"/>
        </w:trPr>
        <w:tc>
          <w:tcPr>
            <w:tcW w:w="215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374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571" w:type="pct"/>
            <w:tcBorders>
              <w:lef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2-3落实强体塑人理念，建设智能体育训练平台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对二年级学生进行拓展训练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完成学生身体健康测试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付小康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军体部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950" w:hRule="atLeast"/>
        </w:trPr>
        <w:tc>
          <w:tcPr>
            <w:tcW w:w="215" w:type="pct"/>
            <w:vMerge w:val="continue"/>
            <w:tcBorders>
              <w:bottom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374" w:type="pct"/>
            <w:vMerge w:val="continue"/>
            <w:tcBorders>
              <w:bottom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571" w:type="pct"/>
            <w:tcBorders>
              <w:lef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2-4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打造覆盖建筑全生命周期专业群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完善人才培养模式课程体系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加强1+X学生技能培训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加强师资队伍建设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zh-CN"/>
              </w:rPr>
              <w:t>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教务处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756" w:hRule="atLeast"/>
        </w:trPr>
        <w:tc>
          <w:tcPr>
            <w:tcW w:w="215" w:type="pct"/>
            <w:vMerge w:val="restart"/>
            <w:tcBorders>
              <w:top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3</w:t>
            </w:r>
          </w:p>
        </w:tc>
        <w:tc>
          <w:tcPr>
            <w:tcW w:w="374" w:type="pct"/>
            <w:vMerge w:val="restart"/>
            <w:tcBorders>
              <w:top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实施“三机制三平台”建设举措，打造技术技能创新平台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</w:pP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571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3-1创新“三个机制”，提升科研管理成效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制度运行总结。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王富彬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科技处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222" w:hRule="atLeast"/>
        </w:trPr>
        <w:tc>
          <w:tcPr>
            <w:tcW w:w="215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374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571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3-2聚力专业集群，打造“三个平台”服务载体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寒区协同创新中心6个项目验收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产业园合作平台结题技术培训1次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zh-CN"/>
              </w:rPr>
              <w:t>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王富彬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科技处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04" w:hRule="atLeast"/>
        </w:trPr>
        <w:tc>
          <w:tcPr>
            <w:tcW w:w="215" w:type="pct"/>
            <w:vMerge w:val="continue"/>
            <w:tcBorders>
              <w:bottom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374" w:type="pct"/>
            <w:vMerge w:val="continue"/>
            <w:tcBorders>
              <w:bottom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571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3-3构建创新创业服务平台，打造BIM技术体验训练中心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聘请BIM专家、行业企业技术人员和匠师开展实训、讲座。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开展BIM技术体验训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zh-CN"/>
              </w:rPr>
              <w:t>练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教务处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929" w:hRule="atLeast"/>
        </w:trPr>
        <w:tc>
          <w:tcPr>
            <w:tcW w:w="215" w:type="pct"/>
            <w:vMerge w:val="restart"/>
            <w:tcBorders>
              <w:top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4</w:t>
            </w:r>
          </w:p>
        </w:tc>
        <w:tc>
          <w:tcPr>
            <w:tcW w:w="374" w:type="pct"/>
            <w:vMerge w:val="restart"/>
            <w:tcBorders>
              <w:top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实施“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383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”优化工程，打造高水平专业群</w:t>
            </w:r>
          </w:p>
        </w:tc>
        <w:tc>
          <w:tcPr>
            <w:tcW w:w="571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4-1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智慧城市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专业群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优化完善专业混合所有制的方案，进一步完善“MEST”课、训、证一体化人才培养模式。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建设专业群核心课程16门上线，使用率100%。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建设省级、国家级精品在线开放课程12门。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出版特色教材4部。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完成5个基地建设。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研发新标准3项，开发新设备3项，推广使用。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培训学生和员工500名以上。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边喜龙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市政系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1300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149" w:hRule="atLeast"/>
        </w:trPr>
        <w:tc>
          <w:tcPr>
            <w:tcW w:w="215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374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571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4-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2智能建造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专业群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成立合作联盟；举办新材料联盟专家学术讲座1次。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打造高品质课程资源5门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主持参与申报专业群相关建设项目科研1项；培养院级名师1人。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培养骨干教师4名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指导学生技能大赛获奖1项或大学生创新创业大赛获奖1项。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完成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个基地建设。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张  琨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建工系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149" w:hRule="atLeast"/>
        </w:trPr>
        <w:tc>
          <w:tcPr>
            <w:tcW w:w="215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74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571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4-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3建筑智能化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专业群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组建智能建筑产教联盟，供企业及学校60 余家单位参与，召开成立大会，制订章程。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1+X 师资培训、培训学生参加1+X 证书考试 100 人次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校企合作开发职业教育专业群标准 1个；课程标准 15 个。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6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6"/>
                <w:sz w:val="21"/>
                <w:szCs w:val="21"/>
              </w:rPr>
              <w:t>开发校企双元职业教育规划教材（新形态、活页式、工作手册式教材）4 本</w:t>
            </w:r>
            <w:r>
              <w:rPr>
                <w:rFonts w:hint="eastAsia" w:cs="Times New Roman" w:eastAsiaTheme="minorEastAsia"/>
                <w:color w:val="auto"/>
                <w:spacing w:val="-6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编制 1+X 证书标准 1 项。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建立教师企业实践基地 1 个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建设海康威视培训基地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个。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培养各类技能骨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干300人以上，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承办技能竞赛 1 次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培训与继续教育总收入累计达 30 万元。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陈志佳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机电系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181" w:hRule="atLeast"/>
        </w:trPr>
        <w:tc>
          <w:tcPr>
            <w:tcW w:w="215" w:type="pct"/>
            <w:vMerge w:val="restart"/>
            <w:tcBorders>
              <w:top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5</w:t>
            </w:r>
          </w:p>
        </w:tc>
        <w:tc>
          <w:tcPr>
            <w:tcW w:w="374" w:type="pct"/>
            <w:vMerge w:val="restart"/>
            <w:tcBorders>
              <w:top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搭建“一中心、三体系”培育平台，打造高水平双师队伍</w:t>
            </w:r>
          </w:p>
        </w:tc>
        <w:tc>
          <w:tcPr>
            <w:tcW w:w="571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5-1强化师德师风引领，培育“四有”好老师。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评选师德先进集体2个、师德标兵5人、师德先进个人15人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采取集中学习、分部门集中学习和分散自学的方式，把师德培训作为常态化工作推进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根据师德师风建设工作进展情况，适时完成《学院教师师德师风考核办法》修订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开展“微腐败”专项整治行动。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才德鑫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人事处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张秀霞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082" w:hRule="atLeast"/>
        </w:trPr>
        <w:tc>
          <w:tcPr>
            <w:tcW w:w="215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374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571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5-2校企一体构建结构化创新示范团队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根据方案遴选校企一体结构化创新示范团队4个。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制定示范团队月推进工作计划，开展课改实施工作，在全院范围内起到表率作用。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教务处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086" w:hRule="atLeast"/>
        </w:trPr>
        <w:tc>
          <w:tcPr>
            <w:tcW w:w="215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74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571" w:type="pct"/>
            <w:vMerge w:val="restar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5-3聚焦精准定位、靶向培养高端人才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引进行业企业专业群带头人1-2名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与教务处和各部门协调配合，不断加强对专业带头人的培养，不断增强专业带头人的行业权威和影响力。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才德鑫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人事处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张秀霞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059" w:hRule="atLeast"/>
        </w:trPr>
        <w:tc>
          <w:tcPr>
            <w:tcW w:w="215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374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571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推行“五个一举措”，提高骨干教师教育教学能力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建成大师工作室1个、教师工作坊2个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服务师资队伍建设。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才德鑫</w:t>
            </w:r>
          </w:p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人事处</w:t>
            </w:r>
          </w:p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教务处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张秀霞</w:t>
            </w:r>
          </w:p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740" w:hRule="atLeast"/>
        </w:trPr>
        <w:tc>
          <w:tcPr>
            <w:tcW w:w="215" w:type="pct"/>
            <w:vMerge w:val="restar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5</w:t>
            </w:r>
          </w:p>
        </w:tc>
        <w:tc>
          <w:tcPr>
            <w:tcW w:w="374" w:type="pct"/>
            <w:vMerge w:val="restar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搭建“一中心、三体系”培育平台，打造高水平双师队伍</w:t>
            </w:r>
          </w:p>
        </w:tc>
        <w:tc>
          <w:tcPr>
            <w:tcW w:w="571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5-4构建一流培训体系，职业全生涯培养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  <w:t>开展新教师入职培训，培训内容含括师德师风、职业教育理论、教学技能、教育科研能力、专业理论和实践能力等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  <w:t>支持教师在职研修，鼓励中青年教师继续学习深造，提升学历层次，增长知识，开拓视野，提高工作质量和水平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学校具有硕士学位人员将达到专任教师人数的80%；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具有博士学位人员达到专任教师人数的3%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23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取得职业技能资格</w:t>
            </w:r>
            <w:r>
              <w:rPr>
                <w:rFonts w:hint="eastAsia" w:ascii="Times New Roman" w:hAnsi="Times New Roman" w:cs="Times New Roman" w:eastAsiaTheme="minorEastAsia"/>
                <w:color w:val="auto"/>
                <w:spacing w:val="-23"/>
                <w:sz w:val="21"/>
                <w:szCs w:val="21"/>
              </w:rPr>
              <w:t>证书达到或超过80人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鼓励教师申请和评定多种职业资格及技能证书。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分期分批组织专业课教师到高校、工厂、企业参加挂职实践、轮岗培养，打造一专多能的教师队伍，新入职教师在入职后的五年内须有不少于半年的企业实践经历。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才德鑫</w:t>
            </w:r>
          </w:p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人事处</w:t>
            </w:r>
          </w:p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教务处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张秀霞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758" w:hRule="atLeast"/>
        </w:trPr>
        <w:tc>
          <w:tcPr>
            <w:tcW w:w="215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74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571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5-5构建一流管理体系，保障教师专业发展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举办各类教师培训及讲座不少于4项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开展名师面对面2次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组织教学研究和交流2次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举办青年教师教学技能、课件比赛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管理各项资源库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结合微信等打通移动端。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教务处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901" w:hRule="atLeast"/>
        </w:trPr>
        <w:tc>
          <w:tcPr>
            <w:tcW w:w="215" w:type="pct"/>
            <w:vMerge w:val="continue"/>
            <w:tcBorders>
              <w:bottom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374" w:type="pct"/>
            <w:vMerge w:val="continue"/>
            <w:tcBorders>
              <w:bottom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571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5-6构建一流评价体系，营造公平和谐的工作氛围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推进制度有效实施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逐步实现将教师考核与职称评聘、岗位聘用、收入分配等挂钩，激励不同专长的优秀人才充分发挥潜能。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  <w:t>逐步建立起“按需设岗、公开招聘、平等竞争、择优聘用、严格考核、合同管理”的聘用制度，在适度稳健的状态下建立起淘汰机制和良好的激励机制。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才德鑫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人事处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张秀霞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90" w:hRule="atLeast"/>
        </w:trPr>
        <w:tc>
          <w:tcPr>
            <w:tcW w:w="215" w:type="pct"/>
            <w:vMerge w:val="restart"/>
            <w:tcBorders>
              <w:top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6</w:t>
            </w:r>
          </w:p>
        </w:tc>
        <w:tc>
          <w:tcPr>
            <w:tcW w:w="374" w:type="pct"/>
            <w:vMerge w:val="restart"/>
            <w:tcBorders>
              <w:top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打造校企命运共同体，提升校企合作水平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571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6-1聚合领先企业，打造黑龙江省建设职教集团，形成校企合作新标杆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增加5家合作企业，并签订合作协议。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共同申报5项科研课题。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郭春明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教务处</w:t>
            </w:r>
          </w:p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招就处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赵云鹏</w:t>
            </w:r>
          </w:p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400" w:hRule="atLeast"/>
        </w:trPr>
        <w:tc>
          <w:tcPr>
            <w:tcW w:w="215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74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571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6-2创造共生价值，共建“智能制造”海尔学院，开创校企合作新航道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校企双方共建实训基地，通过企业基础产品实训、实验的资源输入，帮助学校改善技术类人才的教学环境。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提质增效升级，形成在校在企融为一体，在校即实习，实习即就业的高效人才发展路径。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陈志佳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机电系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100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534" w:hRule="atLeast"/>
        </w:trPr>
        <w:tc>
          <w:tcPr>
            <w:tcW w:w="215" w:type="pct"/>
            <w:vMerge w:val="continue"/>
            <w:tcBorders>
              <w:bottom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374" w:type="pct"/>
            <w:vMerge w:val="continue"/>
            <w:tcBorders>
              <w:bottom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571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6-3深化学徒培养，建设“智慧网络”锐捷学院，架起工学结合新桥梁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建成“大数据工作室”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校企深度合作，建立校企合作、具有项目承接能力的团队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  <w:t>校企双方共建5门核心课程实验手册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规划建设“大数据工作室”。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张德君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信息系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120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686" w:hRule="atLeast"/>
        </w:trPr>
        <w:tc>
          <w:tcPr>
            <w:tcW w:w="215" w:type="pct"/>
            <w:vMerge w:val="restart"/>
            <w:tcBorders>
              <w:top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7</w:t>
            </w:r>
          </w:p>
        </w:tc>
        <w:tc>
          <w:tcPr>
            <w:tcW w:w="374" w:type="pct"/>
            <w:vMerge w:val="restart"/>
            <w:tcBorders>
              <w:top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构建社会服务平台，提升服务发展水平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571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7-1建设社会服务平台，形成服务长效机制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开展社会服务和志愿服务6场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面对建筑领域紧缺人才培养新增各类社会服务0.5万人次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面向中高职院校展开职业教育师资培训</w:t>
            </w:r>
            <w:r>
              <w:rPr>
                <w:rFonts w:ascii="Times New Roman" w:hAnsi="Times New Roman" w:cs="Times New Roman" w:eastAsiaTheme="minorEastAsia"/>
                <w:color w:val="auto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00人次，辐射院校10所以上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成人高等学历教育（高中起点升专科教育和专科起点升本科教育）450人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 xml:space="preserve">完成每年招生退伍军人、社会务工人员200人，打造行业培训品牌，提高终身学习能力。 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王富彬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科技处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112" w:hRule="atLeast"/>
        </w:trPr>
        <w:tc>
          <w:tcPr>
            <w:tcW w:w="215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374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571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7-2搭建校企合作科技创新研究平台，推动中小企业的技术研发和产品升级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开发家具专利产品1套；联合开展技术技能岗位培训300人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横向课题结题5项。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王富彬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科技处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05" w:hRule="atLeast"/>
        </w:trPr>
        <w:tc>
          <w:tcPr>
            <w:tcW w:w="215" w:type="pct"/>
            <w:vMerge w:val="restar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7</w:t>
            </w:r>
          </w:p>
        </w:tc>
        <w:tc>
          <w:tcPr>
            <w:tcW w:w="374" w:type="pct"/>
            <w:vMerge w:val="restar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构建社会服务平台，提升服务发展水平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71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7-3成立新技术协同孵化基地，培养适应高端产业和产业高端需要的高素质技术技能人才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完成新产品各1项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授权专利</w:t>
            </w:r>
            <w:r>
              <w:rPr>
                <w:rFonts w:ascii="Times New Roman" w:hAnsi="Times New Roman" w:cs="Times New Roman" w:eastAsiaTheme="minorEastAsia"/>
                <w:color w:val="auto"/>
                <w:sz w:val="21"/>
                <w:szCs w:val="21"/>
              </w:rPr>
              <w:t>3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项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培养高层次人才</w:t>
            </w:r>
            <w:r>
              <w:rPr>
                <w:rFonts w:ascii="Times New Roman" w:hAnsi="Times New Roman" w:cs="Times New Roman" w:eastAsiaTheme="minorEastAsia"/>
                <w:color w:val="auto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人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孵化</w:t>
            </w:r>
            <w:r>
              <w:rPr>
                <w:rFonts w:ascii="Times New Roman" w:hAnsi="Times New Roman" w:cs="Times New Roman" w:eastAsiaTheme="minorEastAsia"/>
                <w:color w:val="auto"/>
                <w:sz w:val="21"/>
                <w:szCs w:val="21"/>
              </w:rPr>
              <w:t>2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个项目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王富彬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科技处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04" w:hRule="atLeast"/>
        </w:trPr>
        <w:tc>
          <w:tcPr>
            <w:tcW w:w="215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74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571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7-4建设非物质文化遗产合作研究中心，传承民族民间技艺和传统工艺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依托平台，技术服务1次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文创展1次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系列创意产品4套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网媒报道1次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2个品类文创作品。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王富彬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科技处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04" w:hRule="atLeast"/>
        </w:trPr>
        <w:tc>
          <w:tcPr>
            <w:tcW w:w="215" w:type="pct"/>
            <w:vMerge w:val="continue"/>
            <w:tcBorders>
              <w:bottom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374" w:type="pct"/>
            <w:vMerge w:val="continue"/>
            <w:tcBorders>
              <w:bottom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571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 xml:space="preserve">7-5培育科技创新团队，提升应用技术研发水平 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验收2个团队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王富彬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科技处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116" w:hRule="atLeast"/>
        </w:trPr>
        <w:tc>
          <w:tcPr>
            <w:tcW w:w="21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8</w:t>
            </w:r>
          </w:p>
        </w:tc>
        <w:tc>
          <w:tcPr>
            <w:tcW w:w="37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架构“三全”管理的治理体系，提升学校治理水平</w:t>
            </w:r>
          </w:p>
        </w:tc>
        <w:tc>
          <w:tcPr>
            <w:tcW w:w="571" w:type="pct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8-1打造内部质量保证体系3.0版，推动学校内涵式发展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完善常态化的诊断与改进机制。 在决策指挥、质量生成、资源建设、支持服务、监督控制全过程建立自我约束的机制。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王作成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督导办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04" w:hRule="atLeast"/>
        </w:trPr>
        <w:tc>
          <w:tcPr>
            <w:tcW w:w="215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37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571" w:type="pct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8-2搭建“五会”协同结构，形成多元共治的治理格局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完善以教代会为主体的民主监督机制，建立院系两级教职工代表大会制度，充分发挥教职工代表大会和学生代表大会作用，审议学校重大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  <w:t>事宜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王富彬</w:t>
            </w:r>
          </w:p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王作成</w:t>
            </w:r>
          </w:p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科技处</w:t>
            </w:r>
          </w:p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督导办</w:t>
            </w:r>
          </w:p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教务处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90" w:hRule="atLeast"/>
        </w:trPr>
        <w:tc>
          <w:tcPr>
            <w:tcW w:w="215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7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571" w:type="pct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8-3构建现代职业教育“1+N”制度与标准，完善内部治理模式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强化制度标准落实。明确落实管理制度、标准的奖惩机制，强化管理制度、标准执行情况的监督、考核、检查，确保落实到位。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才德鑫</w:t>
            </w:r>
          </w:p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王作成</w:t>
            </w:r>
          </w:p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杨喜林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人事处</w:t>
            </w:r>
          </w:p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督导办</w:t>
            </w:r>
          </w:p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党政办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张秀霞</w:t>
            </w:r>
          </w:p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90" w:hRule="atLeast"/>
        </w:trPr>
        <w:tc>
          <w:tcPr>
            <w:tcW w:w="21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37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571" w:type="pct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8-4深化内设机构改革，提升管理效率和服务效能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岗位职责和系部的进一步调整。扩大二级院系办学自主权。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才德鑫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人事处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张秀霞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213" w:hRule="atLeast"/>
        </w:trPr>
        <w:tc>
          <w:tcPr>
            <w:tcW w:w="21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9</w:t>
            </w:r>
          </w:p>
        </w:tc>
        <w:tc>
          <w:tcPr>
            <w:tcW w:w="37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搭建“5321” 智慧校园一体化平台，提升信息化水平</w:t>
            </w:r>
          </w:p>
        </w:tc>
        <w:tc>
          <w:tcPr>
            <w:tcW w:w="571" w:type="pc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9-1以网络性能提升为重点，完善智慧校园基础设施</w:t>
            </w:r>
          </w:p>
        </w:tc>
        <w:tc>
          <w:tcPr>
            <w:tcW w:w="1587" w:type="pct"/>
            <w:shd w:val="clear" w:color="auto" w:fill="FFFFFF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保持学校出口带宽在5.0G以上，并根据需求加以扩容。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根据发展需求，完善一体化平台中的应用系统及已开发系统中的功能。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系统支撑设备升级替换。</w:t>
            </w:r>
          </w:p>
        </w:tc>
        <w:tc>
          <w:tcPr>
            <w:tcW w:w="387" w:type="pct"/>
            <w:shd w:val="clear" w:color="auto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李大宇</w:t>
            </w:r>
          </w:p>
        </w:tc>
        <w:tc>
          <w:tcPr>
            <w:tcW w:w="585" w:type="pct"/>
            <w:shd w:val="clear" w:color="auto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信息中心</w:t>
            </w:r>
          </w:p>
        </w:tc>
        <w:tc>
          <w:tcPr>
            <w:tcW w:w="425" w:type="pct"/>
            <w:shd w:val="clear" w:color="auto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王林生</w:t>
            </w:r>
          </w:p>
        </w:tc>
        <w:tc>
          <w:tcPr>
            <w:tcW w:w="425" w:type="pct"/>
            <w:shd w:val="clear" w:color="auto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240</w:t>
            </w:r>
          </w:p>
        </w:tc>
        <w:tc>
          <w:tcPr>
            <w:tcW w:w="425" w:type="pct"/>
            <w:shd w:val="clear" w:color="auto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016" w:hRule="atLeast"/>
        </w:trPr>
        <w:tc>
          <w:tcPr>
            <w:tcW w:w="215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374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571" w:type="pct"/>
            <w:tcBorders>
              <w:left w:val="single" w:color="auto" w:sz="4" w:space="0"/>
            </w:tcBorders>
            <w:shd w:val="clear" w:color="auto" w:fill="auto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9-2以统一标准为根本，推进智慧校园数据融合共享</w:t>
            </w:r>
          </w:p>
        </w:tc>
        <w:tc>
          <w:tcPr>
            <w:tcW w:w="1587" w:type="pct"/>
            <w:shd w:val="clear" w:color="auto" w:fill="FFFFFF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完善接入系统的数据标准化统一体系。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TIMIS数据交换中心。</w:t>
            </w:r>
          </w:p>
        </w:tc>
        <w:tc>
          <w:tcPr>
            <w:tcW w:w="387" w:type="pct"/>
            <w:shd w:val="clear" w:color="auto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李大宇</w:t>
            </w:r>
          </w:p>
        </w:tc>
        <w:tc>
          <w:tcPr>
            <w:tcW w:w="585" w:type="pct"/>
            <w:shd w:val="clear" w:color="auto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信息中心</w:t>
            </w:r>
          </w:p>
        </w:tc>
        <w:tc>
          <w:tcPr>
            <w:tcW w:w="425" w:type="pct"/>
            <w:shd w:val="clear" w:color="auto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王林生</w:t>
            </w:r>
          </w:p>
        </w:tc>
        <w:tc>
          <w:tcPr>
            <w:tcW w:w="425" w:type="pct"/>
            <w:shd w:val="clear" w:color="auto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shd w:val="clear" w:color="auto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451" w:hRule="atLeast"/>
        </w:trPr>
        <w:tc>
          <w:tcPr>
            <w:tcW w:w="215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374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571" w:type="pct"/>
            <w:tcBorders>
              <w:left w:val="single" w:color="auto" w:sz="4" w:space="0"/>
            </w:tcBorders>
            <w:shd w:val="clear" w:color="auto" w:fill="auto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9-3以扁平化管理为宗旨，构建智慧管理体系</w:t>
            </w:r>
          </w:p>
        </w:tc>
        <w:tc>
          <w:tcPr>
            <w:tcW w:w="1587" w:type="pct"/>
            <w:shd w:val="clear" w:color="auto" w:fill="FFFFFF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虚拟化系统一次升级，完成存储虚拟化建设。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对机房电力、防火、防盗进行升级，达到智能管控。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  <w:t>根据发展需求对网络核心设备升级。</w:t>
            </w:r>
          </w:p>
        </w:tc>
        <w:tc>
          <w:tcPr>
            <w:tcW w:w="387" w:type="pct"/>
            <w:shd w:val="clear" w:color="auto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李大宇</w:t>
            </w:r>
          </w:p>
        </w:tc>
        <w:tc>
          <w:tcPr>
            <w:tcW w:w="585" w:type="pct"/>
            <w:shd w:val="clear" w:color="auto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信息中心</w:t>
            </w:r>
          </w:p>
        </w:tc>
        <w:tc>
          <w:tcPr>
            <w:tcW w:w="425" w:type="pct"/>
            <w:shd w:val="clear" w:color="auto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王林生</w:t>
            </w:r>
          </w:p>
        </w:tc>
        <w:tc>
          <w:tcPr>
            <w:tcW w:w="425" w:type="pct"/>
            <w:shd w:val="clear" w:color="auto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shd w:val="clear" w:color="auto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04" w:hRule="atLeast"/>
        </w:trPr>
        <w:tc>
          <w:tcPr>
            <w:tcW w:w="215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374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571" w:type="pct"/>
            <w:tcBorders>
              <w:left w:val="single" w:color="auto" w:sz="4" w:space="0"/>
            </w:tcBorders>
            <w:shd w:val="clear" w:color="auto" w:fill="auto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9-4以人性化为立足点，完善智慧服务体系</w:t>
            </w:r>
          </w:p>
        </w:tc>
        <w:tc>
          <w:tcPr>
            <w:tcW w:w="1587" w:type="pct"/>
            <w:shd w:val="clear" w:color="auto" w:fill="FFFFFF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建立智慧消息推送中心基础平台及环境。</w:t>
            </w:r>
          </w:p>
        </w:tc>
        <w:tc>
          <w:tcPr>
            <w:tcW w:w="387" w:type="pct"/>
            <w:shd w:val="clear" w:color="auto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李大宇</w:t>
            </w:r>
          </w:p>
        </w:tc>
        <w:tc>
          <w:tcPr>
            <w:tcW w:w="585" w:type="pct"/>
            <w:shd w:val="clear" w:color="auto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信息中心</w:t>
            </w:r>
          </w:p>
        </w:tc>
        <w:tc>
          <w:tcPr>
            <w:tcW w:w="425" w:type="pct"/>
            <w:shd w:val="clear" w:color="auto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王林生</w:t>
            </w:r>
          </w:p>
        </w:tc>
        <w:tc>
          <w:tcPr>
            <w:tcW w:w="425" w:type="pct"/>
            <w:shd w:val="clear" w:color="auto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shd w:val="clear" w:color="auto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014" w:hRule="atLeast"/>
        </w:trPr>
        <w:tc>
          <w:tcPr>
            <w:tcW w:w="215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374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571" w:type="pct"/>
            <w:tcBorders>
              <w:left w:val="single" w:color="auto" w:sz="4" w:space="0"/>
            </w:tcBorders>
            <w:shd w:val="clear" w:color="auto" w:fill="auto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17"/>
                <w:sz w:val="21"/>
                <w:szCs w:val="21"/>
              </w:rPr>
              <w:t>9-5以创新融合为理念，构建主动学习“课堂革命”新生态</w:t>
            </w:r>
          </w:p>
        </w:tc>
        <w:tc>
          <w:tcPr>
            <w:tcW w:w="1587" w:type="pct"/>
            <w:shd w:val="clear" w:color="auto" w:fill="FFFFFF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both"/>
              <w:textAlignment w:val="auto"/>
              <w:rPr>
                <w:rFonts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建设智慧教室2间。</w:t>
            </w:r>
          </w:p>
        </w:tc>
        <w:tc>
          <w:tcPr>
            <w:tcW w:w="387" w:type="pct"/>
            <w:shd w:val="clear" w:color="auto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585" w:type="pct"/>
            <w:shd w:val="clear" w:color="auto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教务处</w:t>
            </w:r>
          </w:p>
        </w:tc>
        <w:tc>
          <w:tcPr>
            <w:tcW w:w="425" w:type="pct"/>
            <w:shd w:val="clear" w:color="auto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shd w:val="clear" w:color="auto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shd w:val="clear" w:color="auto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078" w:hRule="atLeast"/>
        </w:trPr>
        <w:tc>
          <w:tcPr>
            <w:tcW w:w="215" w:type="pct"/>
            <w:vMerge w:val="restart"/>
            <w:tcBorders>
              <w:top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10</w:t>
            </w:r>
          </w:p>
        </w:tc>
        <w:tc>
          <w:tcPr>
            <w:tcW w:w="374" w:type="pct"/>
            <w:vMerge w:val="restart"/>
            <w:tcBorders>
              <w:top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打造建筑业职业教育国际合作平台，提升国际化水平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571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10-1开展中外合作办学项目，优质资源“引进来”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完成招生80人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开发专业标准1个，完善5个课程标准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打造建筑专业国际品牌，将建设成果推广，发挥品牌效应。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郭春明</w:t>
            </w:r>
          </w:p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及相关</w:t>
            </w:r>
          </w:p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系主任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招就处</w:t>
            </w:r>
          </w:p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教务处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赵云鹏</w:t>
            </w:r>
          </w:p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04" w:hRule="atLeast"/>
        </w:trPr>
        <w:tc>
          <w:tcPr>
            <w:tcW w:w="215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74" w:type="pct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571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10-2开展国际工程教育认证，国际标准“本土化”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2个专业通过国际工程教育认证，形成专业建设的中国标准、中国方案。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申请4个专业群专业认证。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组织认证实操训练营1次，选派认证专业教师参加IEET工程及科技教育认证研习会4次。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及相关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系主任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教务处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04" w:hRule="atLeast"/>
        </w:trPr>
        <w:tc>
          <w:tcPr>
            <w:tcW w:w="215" w:type="pct"/>
            <w:vMerge w:val="continue"/>
            <w:tcBorders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374" w:type="pct"/>
            <w:vMerge w:val="continue"/>
            <w:tcBorders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571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10-3开展国际职业教育服务，校企联合“走出去”</w:t>
            </w: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17"/>
                <w:sz w:val="21"/>
                <w:szCs w:val="21"/>
              </w:rPr>
              <w:t>选派优秀团队到鲁班工坊开展技术技能培训，培训人次200人日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17"/>
                <w:sz w:val="21"/>
                <w:szCs w:val="21"/>
              </w:rPr>
              <w:t>输出标准、教材1部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17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17"/>
                <w:sz w:val="21"/>
                <w:szCs w:val="21"/>
              </w:rPr>
              <w:t>实施项目培训5项。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17"/>
                <w:sz w:val="21"/>
                <w:szCs w:val="21"/>
              </w:rPr>
              <w:t>推动技术技能人才本土化建设，促进中外人文交流。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郭春明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招就处</w:t>
            </w:r>
          </w:p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教务处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赵云鹏</w:t>
            </w:r>
          </w:p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汤延庆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04" w:hRule="atLeast"/>
        </w:trPr>
        <w:tc>
          <w:tcPr>
            <w:tcW w:w="215" w:type="pct"/>
            <w:tcBorders>
              <w:bottom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374" w:type="pct"/>
            <w:tcBorders>
              <w:bottom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571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158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17"/>
                <w:sz w:val="21"/>
                <w:szCs w:val="21"/>
              </w:rPr>
            </w:pPr>
          </w:p>
        </w:tc>
        <w:tc>
          <w:tcPr>
            <w:tcW w:w="387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58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2000</w:t>
            </w:r>
          </w:p>
        </w:tc>
        <w:tc>
          <w:tcPr>
            <w:tcW w:w="425" w:type="pc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839</w:t>
            </w:r>
            <w:bookmarkStart w:id="0" w:name="_GoBack"/>
            <w:bookmarkEnd w:id="0"/>
          </w:p>
        </w:tc>
      </w:tr>
    </w:tbl>
    <w:p/>
    <w:sectPr>
      <w:pgSz w:w="16838" w:h="11906" w:orient="landscape"/>
      <w:pgMar w:top="1417" w:right="1134" w:bottom="141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B070A2"/>
    <w:multiLevelType w:val="singleLevel"/>
    <w:tmpl w:val="80B070A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81DF17AE"/>
    <w:multiLevelType w:val="singleLevel"/>
    <w:tmpl w:val="81DF17A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86205A0D"/>
    <w:multiLevelType w:val="singleLevel"/>
    <w:tmpl w:val="86205A0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A11ECD5F"/>
    <w:multiLevelType w:val="singleLevel"/>
    <w:tmpl w:val="A11ECD5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A618CF5A"/>
    <w:multiLevelType w:val="singleLevel"/>
    <w:tmpl w:val="A618CF5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ACC30013"/>
    <w:multiLevelType w:val="singleLevel"/>
    <w:tmpl w:val="ACC3001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BBAEDA34"/>
    <w:multiLevelType w:val="singleLevel"/>
    <w:tmpl w:val="BBAEDA3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C0CE208F"/>
    <w:multiLevelType w:val="singleLevel"/>
    <w:tmpl w:val="C0CE208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C676BA55"/>
    <w:multiLevelType w:val="singleLevel"/>
    <w:tmpl w:val="C676BA5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D3D1FB0F"/>
    <w:multiLevelType w:val="singleLevel"/>
    <w:tmpl w:val="D3D1FB0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D50E788E"/>
    <w:multiLevelType w:val="singleLevel"/>
    <w:tmpl w:val="D50E788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1">
    <w:nsid w:val="E40650EF"/>
    <w:multiLevelType w:val="singleLevel"/>
    <w:tmpl w:val="E40650E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2">
    <w:nsid w:val="EE0EE4D4"/>
    <w:multiLevelType w:val="singleLevel"/>
    <w:tmpl w:val="EE0EE4D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3">
    <w:nsid w:val="FB29B34A"/>
    <w:multiLevelType w:val="singleLevel"/>
    <w:tmpl w:val="FB29B34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4">
    <w:nsid w:val="FD0888DA"/>
    <w:multiLevelType w:val="singleLevel"/>
    <w:tmpl w:val="FD0888D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5">
    <w:nsid w:val="03D1CF1D"/>
    <w:multiLevelType w:val="singleLevel"/>
    <w:tmpl w:val="03D1CF1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6">
    <w:nsid w:val="13D63898"/>
    <w:multiLevelType w:val="singleLevel"/>
    <w:tmpl w:val="13D6389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7">
    <w:nsid w:val="16C013E5"/>
    <w:multiLevelType w:val="singleLevel"/>
    <w:tmpl w:val="16C013E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8">
    <w:nsid w:val="1876111C"/>
    <w:multiLevelType w:val="singleLevel"/>
    <w:tmpl w:val="1876111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9">
    <w:nsid w:val="1DF3778A"/>
    <w:multiLevelType w:val="singleLevel"/>
    <w:tmpl w:val="1DF3778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0">
    <w:nsid w:val="1E508BBE"/>
    <w:multiLevelType w:val="singleLevel"/>
    <w:tmpl w:val="1E508BB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1">
    <w:nsid w:val="1FE2D921"/>
    <w:multiLevelType w:val="singleLevel"/>
    <w:tmpl w:val="1FE2D92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2">
    <w:nsid w:val="249742CC"/>
    <w:multiLevelType w:val="singleLevel"/>
    <w:tmpl w:val="249742C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3">
    <w:nsid w:val="293381A0"/>
    <w:multiLevelType w:val="singleLevel"/>
    <w:tmpl w:val="293381A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4">
    <w:nsid w:val="2E9AB5D4"/>
    <w:multiLevelType w:val="singleLevel"/>
    <w:tmpl w:val="2E9AB5D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5">
    <w:nsid w:val="316FB49F"/>
    <w:multiLevelType w:val="singleLevel"/>
    <w:tmpl w:val="316FB49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6">
    <w:nsid w:val="3D7BD5C2"/>
    <w:multiLevelType w:val="singleLevel"/>
    <w:tmpl w:val="3D7BD5C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7">
    <w:nsid w:val="52F4E6EB"/>
    <w:multiLevelType w:val="singleLevel"/>
    <w:tmpl w:val="52F4E6E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8">
    <w:nsid w:val="53EFCF82"/>
    <w:multiLevelType w:val="singleLevel"/>
    <w:tmpl w:val="53EFCF8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9">
    <w:nsid w:val="57116978"/>
    <w:multiLevelType w:val="singleLevel"/>
    <w:tmpl w:val="5711697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0">
    <w:nsid w:val="5F1FB404"/>
    <w:multiLevelType w:val="singleLevel"/>
    <w:tmpl w:val="5F1FB40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1">
    <w:nsid w:val="677AF1B0"/>
    <w:multiLevelType w:val="singleLevel"/>
    <w:tmpl w:val="677AF1B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5"/>
  </w:num>
  <w:num w:numId="2">
    <w:abstractNumId w:val="21"/>
  </w:num>
  <w:num w:numId="3">
    <w:abstractNumId w:val="28"/>
  </w:num>
  <w:num w:numId="4">
    <w:abstractNumId w:val="7"/>
  </w:num>
  <w:num w:numId="5">
    <w:abstractNumId w:val="13"/>
  </w:num>
  <w:num w:numId="6">
    <w:abstractNumId w:val="16"/>
  </w:num>
  <w:num w:numId="7">
    <w:abstractNumId w:val="2"/>
  </w:num>
  <w:num w:numId="8">
    <w:abstractNumId w:val="30"/>
  </w:num>
  <w:num w:numId="9">
    <w:abstractNumId w:val="25"/>
  </w:num>
  <w:num w:numId="10">
    <w:abstractNumId w:val="1"/>
  </w:num>
  <w:num w:numId="11">
    <w:abstractNumId w:val="22"/>
  </w:num>
  <w:num w:numId="12">
    <w:abstractNumId w:val="3"/>
  </w:num>
  <w:num w:numId="13">
    <w:abstractNumId w:val="8"/>
  </w:num>
  <w:num w:numId="14">
    <w:abstractNumId w:val="15"/>
  </w:num>
  <w:num w:numId="15">
    <w:abstractNumId w:val="9"/>
  </w:num>
  <w:num w:numId="16">
    <w:abstractNumId w:val="19"/>
  </w:num>
  <w:num w:numId="17">
    <w:abstractNumId w:val="20"/>
  </w:num>
  <w:num w:numId="18">
    <w:abstractNumId w:val="10"/>
  </w:num>
  <w:num w:numId="19">
    <w:abstractNumId w:val="12"/>
  </w:num>
  <w:num w:numId="20">
    <w:abstractNumId w:val="26"/>
  </w:num>
  <w:num w:numId="21">
    <w:abstractNumId w:val="31"/>
  </w:num>
  <w:num w:numId="22">
    <w:abstractNumId w:val="0"/>
  </w:num>
  <w:num w:numId="23">
    <w:abstractNumId w:val="29"/>
  </w:num>
  <w:num w:numId="24">
    <w:abstractNumId w:val="17"/>
  </w:num>
  <w:num w:numId="25">
    <w:abstractNumId w:val="14"/>
  </w:num>
  <w:num w:numId="26">
    <w:abstractNumId w:val="27"/>
  </w:num>
  <w:num w:numId="27">
    <w:abstractNumId w:val="11"/>
  </w:num>
  <w:num w:numId="28">
    <w:abstractNumId w:val="23"/>
  </w:num>
  <w:num w:numId="29">
    <w:abstractNumId w:val="18"/>
  </w:num>
  <w:num w:numId="30">
    <w:abstractNumId w:val="24"/>
  </w:num>
  <w:num w:numId="31">
    <w:abstractNumId w:val="6"/>
  </w:num>
  <w:num w:numId="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362C2E"/>
    <w:rsid w:val="0FF746BB"/>
    <w:rsid w:val="110755FF"/>
    <w:rsid w:val="330D3E58"/>
    <w:rsid w:val="35FD6C34"/>
    <w:rsid w:val="3C2520DB"/>
    <w:rsid w:val="3CCB0652"/>
    <w:rsid w:val="49D24951"/>
    <w:rsid w:val="4BD942CD"/>
    <w:rsid w:val="57362C2E"/>
    <w:rsid w:val="6857244A"/>
    <w:rsid w:val="71D049D6"/>
    <w:rsid w:val="72564FB8"/>
    <w:rsid w:val="732B3EBC"/>
    <w:rsid w:val="772B6DE9"/>
    <w:rsid w:val="78FA0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4522</Words>
  <Characters>4722</Characters>
  <Lines>0</Lines>
  <Paragraphs>0</Paragraphs>
  <TotalTime>39</TotalTime>
  <ScaleCrop>false</ScaleCrop>
  <LinksUpToDate>false</LinksUpToDate>
  <CharactersWithSpaces>4749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2022-03-03T01:34:00Z</dcterms:created>
  <dc:creator>贝戎扌立酉告</dc:creator>
  <cp:lastModifiedBy>贝戎扌立酉告</cp:lastModifiedBy>
  <cp:lastPrinted>2022-03-03T01:52:00Z</cp:lastPrinted>
  <dcterms:modified xsi:type="dcterms:W3CDTF">2022-04-12T00:51:07Z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2A8E538B1FF94A789C8444BA5A017692</vt:lpwstr>
  </property>
</Properties>
</file>