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9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机电工程系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董  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4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实施“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383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”优化工程，打造高水平专业群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4-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3建筑智能化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专业群</w:t>
            </w:r>
          </w:p>
        </w:tc>
        <w:tc>
          <w:tcPr>
            <w:tcW w:w="689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组建智能建筑产教联盟，供企业及学校60 余家单位参与，召开成立大会，制订章程。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1+X 师资培训、培训学生参加1+X 证书考试 100 人次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校企合作开发职业教育专业群标准 1个；课程标准 15 个。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  <w:t>开发校企双元职业教育规划教材（新形态、活页式、工作手册式教材）4 本</w:t>
            </w:r>
            <w:r>
              <w:rPr>
                <w:rFonts w:hint="eastAsia" w:cs="Times New Roman" w:eastAsiaTheme="minorEastAsia"/>
                <w:color w:val="auto"/>
                <w:spacing w:val="-6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编制 1+X 证书标准 1 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建立教师企业实践基地 1 个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建设海康威视培训基地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个。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培养各类技能骨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干300人以上，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承办技能竞赛 1 次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培训与继续教育总收入累计达 30 万元。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董  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打造校企命运共同体，提升校企合作水平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6-2创造共生价值，共建“智能制造”海尔学院，开创校企合作新航道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校企双方共建实训基地，通过企业基础产品实训、实验的资源输入，帮助学校改善技术类人才的教学环境。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提质增效升级，形成在校在企融为一体，在校即实习，实习即就业的高效人才发展路径。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董  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1ECD5F"/>
    <w:multiLevelType w:val="singleLevel"/>
    <w:tmpl w:val="A11ECD5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677AF1B0"/>
    <w:multiLevelType w:val="singleLevel"/>
    <w:tmpl w:val="677AF1B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54801"/>
    <w:rsid w:val="1D8B276B"/>
    <w:rsid w:val="236952EA"/>
    <w:rsid w:val="23A12EC4"/>
    <w:rsid w:val="253C4A00"/>
    <w:rsid w:val="3B8B1618"/>
    <w:rsid w:val="4ED40658"/>
    <w:rsid w:val="5B176B94"/>
    <w:rsid w:val="5E3D2C1E"/>
    <w:rsid w:val="6A7154B1"/>
    <w:rsid w:val="6CA5712A"/>
    <w:rsid w:val="6FAE7B4B"/>
    <w:rsid w:val="705B6F34"/>
    <w:rsid w:val="7FED3BCD"/>
    <w:rsid w:val="7FEE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543</Characters>
  <Lines>0</Lines>
  <Paragraphs>0</Paragraphs>
  <TotalTime>3</TotalTime>
  <ScaleCrop>false</ScaleCrop>
  <LinksUpToDate>false</LinksUpToDate>
  <CharactersWithSpaces>572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BC360ED3F11A456F828D1977E0B9E13B</vt:lpwstr>
  </property>
</Properties>
</file>