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300"/>
        <w:gridCol w:w="2300"/>
        <w:gridCol w:w="2299"/>
        <w:gridCol w:w="2299"/>
        <w:gridCol w:w="2300"/>
        <w:gridCol w:w="230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79" w:hRule="atLeast"/>
        </w:trPr>
        <w:tc>
          <w:tcPr>
            <w:tcW w:w="13802" w:type="dxa"/>
            <w:gridSpan w:val="6"/>
            <w:vAlign w:val="center"/>
          </w:tcPr>
          <w:p>
            <w:pPr>
              <w:jc w:val="center"/>
              <w:rPr>
                <w:rFonts w:hint="default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/>
                <w:b/>
                <w:bCs/>
                <w:sz w:val="44"/>
                <w:szCs w:val="44"/>
                <w:vertAlign w:val="baseline"/>
                <w:lang w:val="en-US" w:eastAsia="zh-CN"/>
              </w:rPr>
              <w:t>2022年国家高水平院校和高水平专业群建设任务委派单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9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default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继续教育学院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>王有为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工作完成周期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2022年底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6" w:hRule="atLeast"/>
        </w:trPr>
        <w:tc>
          <w:tcPr>
            <w:tcW w:w="4600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建设任务</w:t>
            </w:r>
          </w:p>
        </w:tc>
        <w:tc>
          <w:tcPr>
            <w:tcW w:w="6898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</w:rPr>
              <w:t>年度目标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400" w:lineRule="exact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b/>
                <w:bCs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/>
                <w:b/>
                <w:bCs/>
                <w:color w:val="auto"/>
                <w:sz w:val="21"/>
                <w:szCs w:val="21"/>
                <w:lang w:val="en-US" w:eastAsia="zh-CN"/>
              </w:rPr>
              <w:t>项目负责人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0" w:hRule="atLeast"/>
        </w:trPr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kern w:val="2"/>
                <w:sz w:val="21"/>
                <w:szCs w:val="21"/>
                <w:lang w:val="zh-CN" w:eastAsia="zh-CN" w:bidi="ar-SA"/>
              </w:rPr>
            </w:pP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2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构建“五线合一、三化并行”体系，打造技术技能人才培养高地</w:t>
            </w:r>
          </w:p>
        </w:tc>
        <w:tc>
          <w:tcPr>
            <w:tcW w:w="2300" w:type="dxa"/>
            <w:vAlign w:val="center"/>
          </w:tcPr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2-1构建“五线合一、三化并行”的复合型人才培养体系</w:t>
            </w:r>
          </w:p>
          <w:p>
            <w:pPr>
              <w:widowControl/>
              <w:snapToGrid w:val="0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</w:p>
        </w:tc>
        <w:tc>
          <w:tcPr>
            <w:tcW w:w="6898" w:type="dxa"/>
            <w:gridSpan w:val="3"/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6"/>
                <w:sz w:val="21"/>
                <w:szCs w:val="21"/>
              </w:rPr>
              <w:t>为近1000名学生进行职业资格认证。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建成综合职业认证平台，面向学生、社会从业人员提供相应专业证书考试的培训与考试服务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为500名社会从业人员进行技能认证。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开展龙建校园文化品牌活动5项。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培养300农民工，培训6000农民工。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pacing w:val="-11"/>
                <w:sz w:val="21"/>
                <w:szCs w:val="21"/>
              </w:rPr>
              <w:t>构建5大德育课程（体育健康、思想政治、龙江精神、职业职场、人文艺术）。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1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="425" w:leftChars="0" w:hanging="425" w:firstLineChars="0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</w:rPr>
              <w:t>构建“课程思政”示范专业群1个和课程15门。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侯</w:t>
            </w:r>
            <w:r>
              <w:rPr>
                <w:rFonts w:hint="eastAsia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音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Chars="0"/>
              <w:jc w:val="center"/>
              <w:textAlignment w:val="auto"/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王有为</w:t>
            </w:r>
          </w:p>
          <w:p>
            <w:pPr>
              <w:keepNext w:val="0"/>
              <w:keepLines w:val="0"/>
              <w:pageBreakBefore w:val="0"/>
              <w:widowControl/>
              <w:numPr>
                <w:numId w:val="0"/>
              </w:numPr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280" w:lineRule="exact"/>
              <w:ind w:leftChars="0"/>
              <w:jc w:val="center"/>
              <w:textAlignment w:val="auto"/>
              <w:rPr>
                <w:rFonts w:hint="default" w:ascii="Times New Roman" w:hAnsi="Times New Roman" w:cs="Times New Roman"/>
                <w:color w:val="auto"/>
                <w:sz w:val="21"/>
                <w:szCs w:val="21"/>
                <w:lang w:val="en-US" w:eastAsia="zh-CN"/>
              </w:rPr>
            </w:pPr>
            <w:r>
              <w:rPr>
                <w:rFonts w:hint="eastAsia" w:ascii="Times New Roman" w:hAnsi="Times New Roman" w:cs="Times New Roman" w:eastAsiaTheme="minorEastAsia"/>
                <w:color w:val="auto"/>
                <w:sz w:val="21"/>
                <w:szCs w:val="21"/>
                <w:lang w:val="en-US" w:eastAsia="zh-CN"/>
              </w:rPr>
              <w:t>刘万昱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委派部门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双高项目办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委派人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 xml:space="preserve">侯  </w:t>
            </w:r>
            <w:bookmarkStart w:id="0" w:name="_GoBack"/>
            <w:bookmarkEnd w:id="0"/>
            <w:r>
              <w:rPr>
                <w:rFonts w:hint="eastAsia"/>
                <w:sz w:val="21"/>
                <w:szCs w:val="21"/>
                <w:vertAlign w:val="baseline"/>
                <w:lang w:val="en-US" w:eastAsia="zh-CN"/>
              </w:rPr>
              <w:t>音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eastAsiaTheme="minorEastAsia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委派时间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接收日期</w:t>
            </w: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default"/>
                <w:b/>
                <w:bCs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主管领导签字</w:t>
            </w:r>
          </w:p>
        </w:tc>
        <w:tc>
          <w:tcPr>
            <w:tcW w:w="2299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  <w:tc>
          <w:tcPr>
            <w:tcW w:w="2300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rFonts w:hint="eastAsia" w:asciiTheme="minorHAnsi" w:hAnsiTheme="minorHAnsi" w:eastAsiaTheme="minorEastAsia" w:cstheme="minorBidi"/>
                <w:b/>
                <w:bCs/>
                <w:kern w:val="2"/>
                <w:sz w:val="21"/>
                <w:szCs w:val="21"/>
                <w:vertAlign w:val="baseline"/>
                <w:lang w:val="en-US" w:eastAsia="zh-CN" w:bidi="ar-SA"/>
              </w:rPr>
            </w:pPr>
            <w:r>
              <w:rPr>
                <w:rFonts w:hint="eastAsia"/>
                <w:b/>
                <w:bCs/>
                <w:sz w:val="21"/>
                <w:szCs w:val="21"/>
                <w:vertAlign w:val="baseline"/>
                <w:lang w:val="en-US" w:eastAsia="zh-CN"/>
              </w:rPr>
              <w:t>接收人确认签字</w:t>
            </w:r>
          </w:p>
        </w:tc>
        <w:tc>
          <w:tcPr>
            <w:tcW w:w="2304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pacing w:line="400" w:lineRule="exact"/>
              <w:jc w:val="center"/>
              <w:textAlignment w:val="auto"/>
              <w:rPr>
                <w:sz w:val="21"/>
                <w:szCs w:val="21"/>
                <w:vertAlign w:val="baseline"/>
              </w:rPr>
            </w:pPr>
          </w:p>
        </w:tc>
      </w:tr>
    </w:tbl>
    <w:p>
      <w:pPr>
        <w:rPr>
          <w:rFonts w:hint="default"/>
          <w:sz w:val="21"/>
          <w:szCs w:val="21"/>
          <w:vertAlign w:val="baseline"/>
          <w:lang w:val="en-US" w:eastAsia="zh-CN"/>
        </w:rPr>
      </w:pPr>
      <w:r>
        <w:rPr>
          <w:rFonts w:hint="eastAsia"/>
          <w:sz w:val="21"/>
          <w:szCs w:val="21"/>
          <w:vertAlign w:val="baseline"/>
          <w:lang w:val="en-US" w:eastAsia="zh-CN"/>
        </w:rPr>
        <w:t>2022年国家特高建设任务委派单一式两份，由接收部门主管领导、任务负责人确认签字后，将其中一份送返双高项目办，另一份接收部门留存。</w:t>
      </w:r>
    </w:p>
    <w:p>
      <w:pPr>
        <w:rPr>
          <w:rFonts w:hint="default"/>
          <w:sz w:val="24"/>
          <w:szCs w:val="24"/>
          <w:vertAlign w:val="baseline"/>
          <w:lang w:val="en-US" w:eastAsia="zh-CN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C0CE208F"/>
    <w:multiLevelType w:val="singleLevel"/>
    <w:tmpl w:val="C0CE208F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236952EA"/>
    <w:rsid w:val="23A12EC4"/>
    <w:rsid w:val="253C4A00"/>
    <w:rsid w:val="4CA42A33"/>
    <w:rsid w:val="5B176B94"/>
    <w:rsid w:val="5E3D2C1E"/>
    <w:rsid w:val="6A7154B1"/>
    <w:rsid w:val="6CA5712A"/>
    <w:rsid w:val="6FAE7B4B"/>
    <w:rsid w:val="705B6F34"/>
    <w:rsid w:val="7FED3BCD"/>
    <w:rsid w:val="7FEE4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513</Words>
  <Characters>541</Characters>
  <Lines>0</Lines>
  <Paragraphs>0</Paragraphs>
  <TotalTime>1</TotalTime>
  <ScaleCrop>false</ScaleCrop>
  <LinksUpToDate>false</LinksUpToDate>
  <CharactersWithSpaces>566</CharactersWithSpaces>
  <Application>WPS Office_11.1.0.11636_F1E327BC-269C-435d-A152-05C5408002CA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2022-04-19T10:29:00Z</dcterms:created>
  <dc:creator>Administrator</dc:creator>
  <cp:lastModifiedBy>贝戎扌立酉告</cp:lastModifiedBy>
  <dcterms:modified xsi:type="dcterms:W3CDTF">2022-04-19T11:12:28Z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2052-11.1.0.11636</vt:lpwstr>
  </property>
  <property fmtid="{D5CDD505-2E9C-101B-9397-08002B2CF9AE}" pid="3" name="ICV">
    <vt:lpwstr>0FB3DEB98CDB4B168145B28489DB89CA</vt:lpwstr>
  </property>
</Properties>
</file>